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AC40B" w14:textId="018DFF2B" w:rsidR="009C357D" w:rsidRPr="00324497" w:rsidRDefault="009C357D" w:rsidP="00CF5837">
      <w:pPr>
        <w:pBdr>
          <w:bottom w:val="single" w:sz="4" w:space="1" w:color="auto"/>
        </w:pBdr>
        <w:spacing w:after="0"/>
        <w:ind w:right="283"/>
        <w:rPr>
          <w:rFonts w:ascii="Arial" w:hAnsi="Arial" w:cs="Arial"/>
          <w:b/>
          <w:noProof/>
          <w:sz w:val="24"/>
          <w:szCs w:val="24"/>
          <w:lang w:eastAsia="de-DE"/>
        </w:rPr>
      </w:pPr>
      <w:r w:rsidRPr="00324497">
        <w:rPr>
          <w:rFonts w:ascii="Arial" w:hAnsi="Arial" w:cs="Arial"/>
          <w:b/>
          <w:noProof/>
          <w:sz w:val="24"/>
          <w:szCs w:val="24"/>
          <w:lang w:eastAsia="de-DE"/>
        </w:rPr>
        <w:t>Presseinformation</w:t>
      </w:r>
    </w:p>
    <w:p w14:paraId="16FF8BFA" w14:textId="5CB39507" w:rsidR="00324497" w:rsidRPr="009C357D" w:rsidRDefault="00FB4DE2" w:rsidP="00324497">
      <w:pPr>
        <w:pBdr>
          <w:bottom w:val="single" w:sz="4" w:space="1" w:color="auto"/>
        </w:pBdr>
        <w:spacing w:after="0"/>
        <w:ind w:right="283"/>
        <w:rPr>
          <w:rFonts w:ascii="Arial" w:hAnsi="Arial" w:cs="Arial"/>
          <w:noProof/>
          <w:lang w:eastAsia="de-DE"/>
        </w:rPr>
      </w:pPr>
      <w:r>
        <w:rPr>
          <w:rFonts w:ascii="Arial" w:hAnsi="Arial" w:cs="Arial"/>
          <w:noProof/>
          <w:lang w:eastAsia="de-DE"/>
        </w:rPr>
        <w:t>März</w:t>
      </w:r>
      <w:r w:rsidR="002A6B70">
        <w:rPr>
          <w:rFonts w:ascii="Arial" w:hAnsi="Arial" w:cs="Arial"/>
          <w:noProof/>
          <w:lang w:eastAsia="de-DE"/>
        </w:rPr>
        <w:t xml:space="preserve"> 2021</w:t>
      </w:r>
    </w:p>
    <w:p w14:paraId="64A9AF37" w14:textId="77777777" w:rsidR="009C357D" w:rsidRPr="00324497" w:rsidRDefault="009C357D" w:rsidP="00CF5837">
      <w:pPr>
        <w:spacing w:after="0" w:line="360" w:lineRule="auto"/>
        <w:ind w:right="284"/>
        <w:rPr>
          <w:rFonts w:ascii="Arial" w:hAnsi="Arial" w:cs="Arial"/>
          <w:noProof/>
          <w:lang w:eastAsia="de-DE"/>
        </w:rPr>
      </w:pPr>
    </w:p>
    <w:p w14:paraId="40CC53BD" w14:textId="6775670B" w:rsidR="006A3446" w:rsidRPr="007A280D" w:rsidRDefault="007A776C" w:rsidP="007A280D">
      <w:pPr>
        <w:spacing w:after="0"/>
        <w:rPr>
          <w:rFonts w:ascii="Arial" w:hAnsi="Arial"/>
          <w:b/>
          <w:sz w:val="32"/>
        </w:rPr>
      </w:pPr>
      <w:r>
        <w:rPr>
          <w:rFonts w:ascii="Arial" w:hAnsi="Arial"/>
          <w:b/>
          <w:sz w:val="32"/>
        </w:rPr>
        <w:t>Trotz</w:t>
      </w:r>
      <w:r w:rsidR="00B65F95" w:rsidRPr="007A280D">
        <w:rPr>
          <w:rFonts w:ascii="Arial" w:hAnsi="Arial"/>
          <w:b/>
          <w:sz w:val="32"/>
        </w:rPr>
        <w:t xml:space="preserve"> Corona</w:t>
      </w:r>
      <w:r>
        <w:rPr>
          <w:rFonts w:ascii="Arial" w:hAnsi="Arial"/>
          <w:b/>
          <w:sz w:val="32"/>
        </w:rPr>
        <w:t xml:space="preserve">: </w:t>
      </w:r>
      <w:r w:rsidR="00783A6F">
        <w:rPr>
          <w:rFonts w:ascii="Arial" w:hAnsi="Arial"/>
          <w:b/>
          <w:sz w:val="32"/>
        </w:rPr>
        <w:t xml:space="preserve">Strategische Neuausrichtung der </w:t>
      </w:r>
      <w:proofErr w:type="spellStart"/>
      <w:r w:rsidR="00783A6F">
        <w:rPr>
          <w:rFonts w:ascii="Arial" w:hAnsi="Arial"/>
          <w:b/>
          <w:sz w:val="32"/>
        </w:rPr>
        <w:t>Sparda-Bank</w:t>
      </w:r>
      <w:proofErr w:type="spellEnd"/>
      <w:r w:rsidR="00783A6F">
        <w:rPr>
          <w:rFonts w:ascii="Arial" w:hAnsi="Arial"/>
          <w:b/>
          <w:sz w:val="32"/>
        </w:rPr>
        <w:t xml:space="preserve"> Nürnberg</w:t>
      </w:r>
      <w:r w:rsidR="00DB2CF5">
        <w:rPr>
          <w:rFonts w:ascii="Arial" w:hAnsi="Arial"/>
          <w:b/>
          <w:sz w:val="32"/>
        </w:rPr>
        <w:t xml:space="preserve"> </w:t>
      </w:r>
      <w:r w:rsidR="004441C9">
        <w:rPr>
          <w:rFonts w:ascii="Arial" w:hAnsi="Arial"/>
          <w:b/>
          <w:sz w:val="32"/>
        </w:rPr>
        <w:t>schreitet voran</w:t>
      </w:r>
    </w:p>
    <w:p w14:paraId="20D82951" w14:textId="77777777" w:rsidR="002B2F88" w:rsidRPr="002A6B70" w:rsidRDefault="002B2F88" w:rsidP="002B2F88">
      <w:pPr>
        <w:spacing w:after="0" w:line="360" w:lineRule="auto"/>
        <w:ind w:right="271"/>
        <w:rPr>
          <w:rFonts w:ascii="Arial" w:hAnsi="Arial"/>
          <w:i/>
          <w:sz w:val="16"/>
          <w:szCs w:val="16"/>
          <w:highlight w:val="yellow"/>
        </w:rPr>
      </w:pPr>
    </w:p>
    <w:p w14:paraId="607B57C5" w14:textId="3A6AA0BC" w:rsidR="002B2F88" w:rsidRPr="00226AFF" w:rsidRDefault="007A776C" w:rsidP="002B2F88">
      <w:pPr>
        <w:spacing w:after="0" w:line="360" w:lineRule="auto"/>
        <w:ind w:right="271"/>
        <w:rPr>
          <w:rFonts w:ascii="Arial" w:hAnsi="Arial"/>
          <w:i/>
        </w:rPr>
      </w:pPr>
      <w:r w:rsidRPr="00226AFF">
        <w:rPr>
          <w:rFonts w:ascii="Arial" w:hAnsi="Arial"/>
          <w:i/>
        </w:rPr>
        <w:t xml:space="preserve">Pandemie beeinflusst besonders das Filialgeschäft </w:t>
      </w:r>
      <w:r w:rsidR="000C4258" w:rsidRPr="00226AFF">
        <w:rPr>
          <w:rFonts w:ascii="Arial" w:hAnsi="Arial"/>
          <w:i/>
        </w:rPr>
        <w:t>und</w:t>
      </w:r>
      <w:r w:rsidRPr="00226AFF">
        <w:rPr>
          <w:rFonts w:ascii="Arial" w:hAnsi="Arial"/>
          <w:i/>
        </w:rPr>
        <w:t xml:space="preserve"> drückt auf die </w:t>
      </w:r>
      <w:r w:rsidR="00FC2CC0" w:rsidRPr="00226AFF">
        <w:rPr>
          <w:rFonts w:ascii="Arial" w:hAnsi="Arial"/>
          <w:i/>
        </w:rPr>
        <w:t>Neukunden</w:t>
      </w:r>
      <w:r w:rsidRPr="00226AFF">
        <w:rPr>
          <w:rFonts w:ascii="Arial" w:hAnsi="Arial"/>
          <w:i/>
        </w:rPr>
        <w:t xml:space="preserve">entwicklung – Plus bei den Baufinanzierungen </w:t>
      </w:r>
      <w:r w:rsidR="00B6582B" w:rsidRPr="00226AFF">
        <w:rPr>
          <w:rFonts w:ascii="Arial" w:hAnsi="Arial"/>
          <w:i/>
        </w:rPr>
        <w:t>–</w:t>
      </w:r>
      <w:r w:rsidR="00B65F95" w:rsidRPr="00226AFF">
        <w:rPr>
          <w:rFonts w:ascii="Arial" w:hAnsi="Arial"/>
          <w:i/>
        </w:rPr>
        <w:t xml:space="preserve"> </w:t>
      </w:r>
      <w:r w:rsidR="00B6582B" w:rsidRPr="00226AFF">
        <w:rPr>
          <w:rFonts w:ascii="Arial" w:hAnsi="Arial"/>
          <w:i/>
        </w:rPr>
        <w:t>Klares Bekenntnis zum gesellschaftlichen Engagement</w:t>
      </w:r>
      <w:r w:rsidRPr="00226AFF">
        <w:rPr>
          <w:rFonts w:ascii="Arial" w:hAnsi="Arial"/>
          <w:i/>
        </w:rPr>
        <w:t xml:space="preserve"> – Einstieg in den Mietwohnungsbau</w:t>
      </w:r>
      <w:r w:rsidR="00FC2CC0" w:rsidRPr="00226AFF">
        <w:rPr>
          <w:rFonts w:ascii="Arial" w:hAnsi="Arial"/>
          <w:i/>
        </w:rPr>
        <w:t xml:space="preserve"> verspricht neue Marktchancen</w:t>
      </w:r>
    </w:p>
    <w:p w14:paraId="76E3099D" w14:textId="77777777" w:rsidR="002B2F88" w:rsidRPr="00226AFF" w:rsidRDefault="002B2F88" w:rsidP="002B2F88">
      <w:pPr>
        <w:spacing w:after="0" w:line="360" w:lineRule="auto"/>
        <w:ind w:right="271"/>
        <w:rPr>
          <w:rFonts w:ascii="Arial" w:hAnsi="Arial"/>
          <w:i/>
        </w:rPr>
      </w:pPr>
    </w:p>
    <w:p w14:paraId="03399063" w14:textId="1B5A1C60" w:rsidR="00A422C1" w:rsidRPr="00226AFF" w:rsidRDefault="00E25F75" w:rsidP="002B2F88">
      <w:pPr>
        <w:spacing w:after="0" w:line="360" w:lineRule="auto"/>
        <w:rPr>
          <w:rFonts w:ascii="Arial" w:hAnsi="Arial"/>
        </w:rPr>
      </w:pPr>
      <w:r w:rsidRPr="00226AFF">
        <w:rPr>
          <w:rFonts w:ascii="Arial" w:hAnsi="Arial"/>
        </w:rPr>
        <w:t xml:space="preserve">Nürnberg – </w:t>
      </w:r>
      <w:r w:rsidR="00F05AD1" w:rsidRPr="00226AFF">
        <w:rPr>
          <w:rFonts w:ascii="Arial" w:hAnsi="Arial"/>
        </w:rPr>
        <w:t>Die Geschäftsentwicklung der</w:t>
      </w:r>
      <w:r w:rsidRPr="00226AFF">
        <w:rPr>
          <w:rFonts w:ascii="Arial" w:hAnsi="Arial"/>
        </w:rPr>
        <w:t xml:space="preserve"> </w:t>
      </w:r>
      <w:proofErr w:type="spellStart"/>
      <w:r w:rsidRPr="00226AFF">
        <w:rPr>
          <w:rFonts w:ascii="Arial" w:hAnsi="Arial"/>
        </w:rPr>
        <w:t>Sparda-Bank</w:t>
      </w:r>
      <w:proofErr w:type="spellEnd"/>
      <w:r w:rsidRPr="00226AFF">
        <w:rPr>
          <w:rFonts w:ascii="Arial" w:hAnsi="Arial"/>
        </w:rPr>
        <w:t xml:space="preserve"> Nürnberg eG </w:t>
      </w:r>
      <w:r w:rsidR="005F77F3" w:rsidRPr="00226AFF">
        <w:rPr>
          <w:rFonts w:ascii="Arial" w:hAnsi="Arial"/>
        </w:rPr>
        <w:t>ist</w:t>
      </w:r>
      <w:r w:rsidR="00F05AD1" w:rsidRPr="00226AFF">
        <w:rPr>
          <w:rFonts w:ascii="Arial" w:hAnsi="Arial"/>
        </w:rPr>
        <w:t xml:space="preserve"> im Geschäftsjahr 2020 </w:t>
      </w:r>
      <w:r w:rsidRPr="00226AFF">
        <w:rPr>
          <w:rFonts w:ascii="Arial" w:hAnsi="Arial"/>
        </w:rPr>
        <w:t xml:space="preserve">vor allem </w:t>
      </w:r>
      <w:r w:rsidR="00F05AD1" w:rsidRPr="00226AFF">
        <w:rPr>
          <w:rFonts w:ascii="Arial" w:hAnsi="Arial"/>
        </w:rPr>
        <w:t xml:space="preserve">von den Auswirkungen der </w:t>
      </w:r>
      <w:r w:rsidRPr="00226AFF">
        <w:rPr>
          <w:rFonts w:ascii="Arial" w:hAnsi="Arial"/>
        </w:rPr>
        <w:t>Corona-Pandemie geprägt</w:t>
      </w:r>
      <w:r w:rsidR="005F77F3" w:rsidRPr="00226AFF">
        <w:rPr>
          <w:rFonts w:ascii="Arial" w:hAnsi="Arial"/>
        </w:rPr>
        <w:t xml:space="preserve"> worden</w:t>
      </w:r>
      <w:r w:rsidR="00F05AD1" w:rsidRPr="00226AFF">
        <w:rPr>
          <w:rFonts w:ascii="Arial" w:hAnsi="Arial"/>
        </w:rPr>
        <w:t xml:space="preserve">. „Das zurückliegende Jahr war eines der herausforderndsten in der Geschichte unserer Genossenschaft. </w:t>
      </w:r>
      <w:r w:rsidR="007A776C" w:rsidRPr="00226AFF">
        <w:rPr>
          <w:rFonts w:ascii="Arial" w:hAnsi="Arial"/>
        </w:rPr>
        <w:t>Wir verfolgen die</w:t>
      </w:r>
      <w:r w:rsidR="00D859E1" w:rsidRPr="00226AFF">
        <w:rPr>
          <w:rFonts w:ascii="Arial" w:hAnsi="Arial"/>
        </w:rPr>
        <w:t xml:space="preserve"> </w:t>
      </w:r>
      <w:r w:rsidR="007A776C" w:rsidRPr="00226AFF">
        <w:rPr>
          <w:rFonts w:ascii="Arial" w:hAnsi="Arial"/>
        </w:rPr>
        <w:t xml:space="preserve">strategische </w:t>
      </w:r>
      <w:r w:rsidR="00D859E1" w:rsidRPr="00226AFF">
        <w:rPr>
          <w:rFonts w:ascii="Arial" w:hAnsi="Arial"/>
        </w:rPr>
        <w:t xml:space="preserve">Neuausrichtung </w:t>
      </w:r>
      <w:r w:rsidR="007A776C" w:rsidRPr="00226AFF">
        <w:rPr>
          <w:rFonts w:ascii="Arial" w:hAnsi="Arial"/>
        </w:rPr>
        <w:t xml:space="preserve">und die digitale Transformation </w:t>
      </w:r>
      <w:r w:rsidR="00D859E1" w:rsidRPr="00226AFF">
        <w:rPr>
          <w:rFonts w:ascii="Arial" w:hAnsi="Arial"/>
        </w:rPr>
        <w:t>unserer Genossenschaft konsequent weiter</w:t>
      </w:r>
      <w:r w:rsidR="007A776C" w:rsidRPr="00226AFF">
        <w:rPr>
          <w:rFonts w:ascii="Arial" w:hAnsi="Arial"/>
        </w:rPr>
        <w:t xml:space="preserve">, aber der Weg ist </w:t>
      </w:r>
      <w:r w:rsidR="004441C9" w:rsidRPr="00226AFF">
        <w:rPr>
          <w:rFonts w:ascii="Arial" w:hAnsi="Arial"/>
        </w:rPr>
        <w:t>anspruchsvoll</w:t>
      </w:r>
      <w:r w:rsidR="00D859E1" w:rsidRPr="00226AFF">
        <w:rPr>
          <w:rFonts w:ascii="Arial" w:hAnsi="Arial"/>
        </w:rPr>
        <w:t>“, sagte</w:t>
      </w:r>
      <w:r w:rsidR="00F05AD1" w:rsidRPr="00226AFF">
        <w:rPr>
          <w:rFonts w:ascii="Arial" w:hAnsi="Arial"/>
        </w:rPr>
        <w:t xml:space="preserve"> Stefan Schindler, der Vorstandsvorsitzende der </w:t>
      </w:r>
      <w:proofErr w:type="spellStart"/>
      <w:r w:rsidR="00D859E1" w:rsidRPr="00226AFF">
        <w:rPr>
          <w:rFonts w:ascii="Arial" w:hAnsi="Arial"/>
        </w:rPr>
        <w:t>Sparda-Bank</w:t>
      </w:r>
      <w:proofErr w:type="spellEnd"/>
      <w:r w:rsidR="00D859E1" w:rsidRPr="00226AFF">
        <w:rPr>
          <w:rFonts w:ascii="Arial" w:hAnsi="Arial"/>
        </w:rPr>
        <w:t xml:space="preserve"> Nürnberg, bei der diesjährigen Vorstellung der Jahresbilanz.</w:t>
      </w:r>
      <w:r w:rsidR="005A5579" w:rsidRPr="00226AFF">
        <w:rPr>
          <w:rFonts w:ascii="Arial" w:hAnsi="Arial"/>
        </w:rPr>
        <w:t xml:space="preserve"> </w:t>
      </w:r>
    </w:p>
    <w:p w14:paraId="7F3EF505" w14:textId="77777777" w:rsidR="00A422C1" w:rsidRPr="00226AFF" w:rsidRDefault="00A422C1" w:rsidP="002B2F88">
      <w:pPr>
        <w:spacing w:after="0" w:line="360" w:lineRule="auto"/>
        <w:rPr>
          <w:rFonts w:ascii="Arial" w:hAnsi="Arial"/>
        </w:rPr>
      </w:pPr>
    </w:p>
    <w:p w14:paraId="1DB4A0A2" w14:textId="6B9B97BC" w:rsidR="00A422C1" w:rsidRPr="00226AFF" w:rsidRDefault="009B39D7" w:rsidP="002B2F88">
      <w:pPr>
        <w:spacing w:after="0" w:line="360" w:lineRule="auto"/>
        <w:rPr>
          <w:rFonts w:ascii="Arial" w:eastAsiaTheme="minorEastAsia" w:hAnsi="Arial" w:cs="Arial"/>
          <w:lang w:eastAsia="de-DE"/>
        </w:rPr>
      </w:pPr>
      <w:r w:rsidRPr="00226AFF">
        <w:rPr>
          <w:rFonts w:ascii="Arial" w:hAnsi="Arial"/>
        </w:rPr>
        <w:t>Zu den weiteren prägenden</w:t>
      </w:r>
      <w:r w:rsidR="005A5579" w:rsidRPr="00226AFF">
        <w:rPr>
          <w:rFonts w:ascii="Arial" w:hAnsi="Arial"/>
        </w:rPr>
        <w:t xml:space="preserve"> Faktoren </w:t>
      </w:r>
      <w:r w:rsidRPr="00226AFF">
        <w:rPr>
          <w:rFonts w:ascii="Arial" w:hAnsi="Arial"/>
        </w:rPr>
        <w:t>der Geschäftsergebnisse zählt Schindler</w:t>
      </w:r>
      <w:r w:rsidR="005A5579" w:rsidRPr="00226AFF">
        <w:rPr>
          <w:rFonts w:ascii="Arial" w:hAnsi="Arial"/>
        </w:rPr>
        <w:t xml:space="preserve"> die dauerhafte Null- und Minuszinspolitik der Europäischen Zentralbank</w:t>
      </w:r>
      <w:r w:rsidRPr="00226AFF">
        <w:rPr>
          <w:rFonts w:ascii="Arial" w:hAnsi="Arial"/>
        </w:rPr>
        <w:t xml:space="preserve"> </w:t>
      </w:r>
      <w:r w:rsidR="00A70982" w:rsidRPr="00226AFF">
        <w:rPr>
          <w:rFonts w:ascii="Arial" w:hAnsi="Arial"/>
        </w:rPr>
        <w:t xml:space="preserve">(EZB) </w:t>
      </w:r>
      <w:r w:rsidRPr="00226AFF">
        <w:rPr>
          <w:rFonts w:ascii="Arial" w:hAnsi="Arial"/>
        </w:rPr>
        <w:t>sowie die Digitalisierung: „</w:t>
      </w:r>
      <w:r w:rsidR="007D5E16" w:rsidRPr="00226AFF">
        <w:rPr>
          <w:rFonts w:ascii="Arial" w:hAnsi="Arial"/>
        </w:rPr>
        <w:t xml:space="preserve">Die Privatkundenbanken stehen </w:t>
      </w:r>
      <w:r w:rsidR="000A4313" w:rsidRPr="00226AFF">
        <w:rPr>
          <w:rFonts w:ascii="Arial" w:hAnsi="Arial"/>
        </w:rPr>
        <w:t>s</w:t>
      </w:r>
      <w:r w:rsidRPr="00226AFF">
        <w:rPr>
          <w:rFonts w:ascii="Arial" w:hAnsi="Arial"/>
        </w:rPr>
        <w:t>chon seit Jahren vor außerordentlichen Herausforderungen. Diese Entwicklung wurde durch die Pandemie noch beschleunigt.“</w:t>
      </w:r>
      <w:r w:rsidR="00A422C1" w:rsidRPr="00226AFF">
        <w:rPr>
          <w:rFonts w:ascii="Arial" w:hAnsi="Arial"/>
        </w:rPr>
        <w:t xml:space="preserve"> Als Reaktion auf </w:t>
      </w:r>
      <w:r w:rsidR="00B21D82" w:rsidRPr="00226AFF">
        <w:rPr>
          <w:rFonts w:ascii="Arial" w:hAnsi="Arial"/>
        </w:rPr>
        <w:t>das Niedrigzinsumfeld</w:t>
      </w:r>
      <w:r w:rsidR="00A422C1" w:rsidRPr="00226AFF">
        <w:rPr>
          <w:rFonts w:ascii="Arial" w:hAnsi="Arial"/>
        </w:rPr>
        <w:t xml:space="preserve"> hatte sich die </w:t>
      </w:r>
      <w:proofErr w:type="spellStart"/>
      <w:r w:rsidR="00A422C1" w:rsidRPr="00226AFF">
        <w:rPr>
          <w:rFonts w:ascii="Arial" w:hAnsi="Arial"/>
        </w:rPr>
        <w:t>Sparda-Bank</w:t>
      </w:r>
      <w:proofErr w:type="spellEnd"/>
      <w:r w:rsidR="00A422C1" w:rsidRPr="00226AFF">
        <w:rPr>
          <w:rFonts w:ascii="Arial" w:hAnsi="Arial"/>
        </w:rPr>
        <w:t xml:space="preserve"> Nürnberg zum Jahresende von ihrem kostenlosen Lohn-, Gehalts- und Rentenkonto verabschiedet und neue Girokontomodelle eingeführt. </w:t>
      </w:r>
      <w:r w:rsidR="00A422C1" w:rsidRPr="00226AFF">
        <w:rPr>
          <w:rFonts w:ascii="Arial" w:eastAsiaTheme="minorEastAsia" w:hAnsi="Arial" w:cs="Arial"/>
          <w:lang w:eastAsia="de-DE"/>
        </w:rPr>
        <w:t xml:space="preserve">Seit 1. Januar 2021 gibt es zwei Girokonten: </w:t>
      </w:r>
      <w:r w:rsidR="00D80C8A" w:rsidRPr="00226AFF">
        <w:rPr>
          <w:rFonts w:ascii="Arial" w:eastAsiaTheme="minorEastAsia" w:hAnsi="Arial" w:cs="Arial"/>
          <w:lang w:eastAsia="de-DE"/>
        </w:rPr>
        <w:t>d</w:t>
      </w:r>
      <w:r w:rsidR="00A422C1" w:rsidRPr="00226AFF">
        <w:rPr>
          <w:rFonts w:ascii="Arial" w:eastAsiaTheme="minorEastAsia" w:hAnsi="Arial" w:cs="Arial"/>
          <w:lang w:eastAsia="de-DE"/>
        </w:rPr>
        <w:t xml:space="preserve">as </w:t>
      </w:r>
      <w:proofErr w:type="spellStart"/>
      <w:r w:rsidR="00A422C1" w:rsidRPr="00226AFF">
        <w:rPr>
          <w:rFonts w:ascii="Arial" w:eastAsiaTheme="minorEastAsia" w:hAnsi="Arial" w:cs="Arial"/>
          <w:lang w:eastAsia="de-DE"/>
        </w:rPr>
        <w:t>Sparda</w:t>
      </w:r>
      <w:proofErr w:type="spellEnd"/>
      <w:r w:rsidR="00A422C1" w:rsidRPr="00226AFF">
        <w:rPr>
          <w:rFonts w:ascii="Arial" w:eastAsiaTheme="minorEastAsia" w:hAnsi="Arial" w:cs="Arial"/>
          <w:lang w:eastAsia="de-DE"/>
        </w:rPr>
        <w:t xml:space="preserve">-Girokonto mit einem Entgelt in Höhe von 5 Euro monatlich sowie das Jugendgirokonto </w:t>
      </w:r>
      <w:proofErr w:type="spellStart"/>
      <w:r w:rsidR="00A422C1" w:rsidRPr="00226AFF">
        <w:rPr>
          <w:rFonts w:ascii="Arial" w:eastAsiaTheme="minorEastAsia" w:hAnsi="Arial" w:cs="Arial"/>
          <w:lang w:eastAsia="de-DE"/>
        </w:rPr>
        <w:t>SpardaYoung</w:t>
      </w:r>
      <w:proofErr w:type="spellEnd"/>
      <w:r w:rsidR="00A422C1" w:rsidRPr="00226AFF">
        <w:rPr>
          <w:rFonts w:ascii="Arial" w:eastAsiaTheme="minorEastAsia" w:hAnsi="Arial" w:cs="Arial"/>
          <w:lang w:eastAsia="de-DE"/>
        </w:rPr>
        <w:t>+, dessen Kontoführung weiterhin kostenfrei bleibt.</w:t>
      </w:r>
      <w:r w:rsidR="00B21D82" w:rsidRPr="00226AFF">
        <w:rPr>
          <w:rFonts w:ascii="Arial" w:eastAsiaTheme="minorEastAsia" w:hAnsi="Arial" w:cs="Arial"/>
          <w:lang w:eastAsia="de-DE"/>
        </w:rPr>
        <w:t xml:space="preserve"> Der Vorstandsvorsitzende bekräftigt: „Diese Entscheidung </w:t>
      </w:r>
      <w:r w:rsidR="007A776C" w:rsidRPr="00226AFF">
        <w:rPr>
          <w:rFonts w:ascii="Arial" w:eastAsiaTheme="minorEastAsia" w:hAnsi="Arial" w:cs="Arial"/>
          <w:lang w:eastAsia="de-DE"/>
        </w:rPr>
        <w:t>war eine Zäsur,</w:t>
      </w:r>
      <w:r w:rsidR="00B21D82" w:rsidRPr="00226AFF">
        <w:rPr>
          <w:rFonts w:ascii="Arial" w:eastAsiaTheme="minorEastAsia" w:hAnsi="Arial" w:cs="Arial"/>
          <w:lang w:eastAsia="de-DE"/>
        </w:rPr>
        <w:t xml:space="preserve"> aber notwendig, um unsere Wettbewerbsfähigkeit zu sichern.“</w:t>
      </w:r>
    </w:p>
    <w:p w14:paraId="03EDEDAB" w14:textId="59C3681A" w:rsidR="00356417" w:rsidRPr="00226AFF" w:rsidRDefault="00356417" w:rsidP="002B2F88">
      <w:pPr>
        <w:spacing w:after="0" w:line="360" w:lineRule="auto"/>
        <w:rPr>
          <w:rFonts w:ascii="Arial" w:eastAsiaTheme="minorEastAsia" w:hAnsi="Arial" w:cs="Arial"/>
          <w:lang w:eastAsia="de-DE"/>
        </w:rPr>
      </w:pPr>
    </w:p>
    <w:p w14:paraId="387D8304" w14:textId="08EE1C18" w:rsidR="00356417" w:rsidRPr="00226AFF" w:rsidRDefault="00356417" w:rsidP="002B2F88">
      <w:pPr>
        <w:spacing w:after="0" w:line="360" w:lineRule="auto"/>
        <w:rPr>
          <w:rFonts w:ascii="Arial" w:eastAsiaTheme="minorEastAsia" w:hAnsi="Arial" w:cs="Arial"/>
          <w:lang w:eastAsia="de-DE"/>
        </w:rPr>
      </w:pPr>
      <w:r w:rsidRPr="00226AFF">
        <w:rPr>
          <w:rFonts w:ascii="Arial" w:eastAsiaTheme="minorEastAsia" w:hAnsi="Arial" w:cs="Arial"/>
          <w:lang w:eastAsia="de-DE"/>
        </w:rPr>
        <w:t xml:space="preserve">Die </w:t>
      </w:r>
      <w:r w:rsidRPr="00226AFF">
        <w:rPr>
          <w:rFonts w:ascii="Arial" w:eastAsiaTheme="minorEastAsia" w:hAnsi="Arial" w:cs="Arial"/>
          <w:b/>
          <w:bCs/>
          <w:lang w:eastAsia="de-DE"/>
        </w:rPr>
        <w:t>Mitgliederentwicklung</w:t>
      </w:r>
      <w:r w:rsidRPr="00226AFF">
        <w:rPr>
          <w:rFonts w:ascii="Arial" w:eastAsiaTheme="minorEastAsia" w:hAnsi="Arial" w:cs="Arial"/>
          <w:lang w:eastAsia="de-DE"/>
        </w:rPr>
        <w:t xml:space="preserve"> gab folglich erwartungsgemäß leicht nach und lag zum 31.12.2020 bei 218.316, was einem Rückgang um </w:t>
      </w:r>
      <w:r w:rsidR="00FE0225" w:rsidRPr="00226AFF">
        <w:rPr>
          <w:rFonts w:ascii="Arial" w:eastAsiaTheme="minorEastAsia" w:hAnsi="Arial" w:cs="Arial"/>
          <w:lang w:eastAsia="de-DE"/>
        </w:rPr>
        <w:t>0</w:t>
      </w:r>
      <w:r w:rsidRPr="00226AFF">
        <w:rPr>
          <w:rFonts w:ascii="Arial" w:eastAsiaTheme="minorEastAsia" w:hAnsi="Arial" w:cs="Arial"/>
          <w:lang w:eastAsia="de-DE"/>
        </w:rPr>
        <w:t xml:space="preserve">,8 Prozent entspricht. </w:t>
      </w:r>
      <w:r w:rsidR="00E70E85" w:rsidRPr="00226AFF">
        <w:rPr>
          <w:rFonts w:ascii="Arial" w:eastAsiaTheme="minorEastAsia" w:hAnsi="Arial" w:cs="Arial"/>
          <w:lang w:eastAsia="de-DE"/>
        </w:rPr>
        <w:t>Damit</w:t>
      </w:r>
      <w:r w:rsidRPr="00226AFF">
        <w:rPr>
          <w:rFonts w:ascii="Arial" w:eastAsiaTheme="minorEastAsia" w:hAnsi="Arial" w:cs="Arial"/>
          <w:lang w:eastAsia="de-DE"/>
        </w:rPr>
        <w:t xml:space="preserve"> bleibt die </w:t>
      </w:r>
      <w:proofErr w:type="spellStart"/>
      <w:r w:rsidRPr="00226AFF">
        <w:rPr>
          <w:rFonts w:ascii="Arial" w:eastAsiaTheme="minorEastAsia" w:hAnsi="Arial" w:cs="Arial"/>
          <w:lang w:eastAsia="de-DE"/>
        </w:rPr>
        <w:t>Sparda-Bank</w:t>
      </w:r>
      <w:proofErr w:type="spellEnd"/>
      <w:r w:rsidRPr="00226AFF">
        <w:rPr>
          <w:rFonts w:ascii="Arial" w:eastAsiaTheme="minorEastAsia" w:hAnsi="Arial" w:cs="Arial"/>
          <w:lang w:eastAsia="de-DE"/>
        </w:rPr>
        <w:t xml:space="preserve"> weiterhin die größte Genossenschaftsbank in Nordbayern. </w:t>
      </w:r>
      <w:r w:rsidR="008B26F6" w:rsidRPr="00226AFF">
        <w:rPr>
          <w:rFonts w:ascii="Arial" w:eastAsiaTheme="minorEastAsia" w:hAnsi="Arial" w:cs="Arial"/>
          <w:lang w:eastAsia="de-DE"/>
        </w:rPr>
        <w:t>Besonders die</w:t>
      </w:r>
      <w:r w:rsidRPr="00226AFF">
        <w:rPr>
          <w:rFonts w:ascii="Arial" w:eastAsiaTheme="minorEastAsia" w:hAnsi="Arial" w:cs="Arial"/>
          <w:lang w:eastAsia="de-DE"/>
        </w:rPr>
        <w:t xml:space="preserve"> Gewinnung neuer Girokunden wurde durch die Corona-Pandemie stark beeinflusst – während des Lockdowns im Frühjahr waren die Serviceschalter der </w:t>
      </w:r>
      <w:proofErr w:type="spellStart"/>
      <w:r w:rsidRPr="00226AFF">
        <w:rPr>
          <w:rFonts w:ascii="Arial" w:eastAsiaTheme="minorEastAsia" w:hAnsi="Arial" w:cs="Arial"/>
          <w:lang w:eastAsia="de-DE"/>
        </w:rPr>
        <w:t>Sparda-Bank</w:t>
      </w:r>
      <w:proofErr w:type="spellEnd"/>
      <w:r w:rsidR="008B26F6" w:rsidRPr="00226AFF">
        <w:rPr>
          <w:rFonts w:ascii="Arial" w:eastAsiaTheme="minorEastAsia" w:hAnsi="Arial" w:cs="Arial"/>
          <w:lang w:eastAsia="de-DE"/>
        </w:rPr>
        <w:t>-Filialen</w:t>
      </w:r>
      <w:r w:rsidRPr="00226AFF">
        <w:rPr>
          <w:rFonts w:ascii="Arial" w:eastAsiaTheme="minorEastAsia" w:hAnsi="Arial" w:cs="Arial"/>
          <w:lang w:eastAsia="de-DE"/>
        </w:rPr>
        <w:t xml:space="preserve"> </w:t>
      </w:r>
      <w:r w:rsidRPr="00226AFF">
        <w:rPr>
          <w:rFonts w:ascii="Arial" w:eastAsiaTheme="minorEastAsia" w:hAnsi="Arial" w:cs="Arial"/>
          <w:lang w:eastAsia="de-DE"/>
        </w:rPr>
        <w:lastRenderedPageBreak/>
        <w:t xml:space="preserve">vorübergehend geschlossen und auch danach hielten sich die Verbraucher beim Bankwechsel spürbar zurück. Das führte dazu, dass die Genossenschaftsbank 2020 4.680 </w:t>
      </w:r>
      <w:r w:rsidRPr="00226AFF">
        <w:rPr>
          <w:rFonts w:ascii="Arial" w:eastAsiaTheme="minorEastAsia" w:hAnsi="Arial" w:cs="Arial"/>
          <w:b/>
          <w:bCs/>
          <w:lang w:eastAsia="de-DE"/>
        </w:rPr>
        <w:t>Giro-Neukunden</w:t>
      </w:r>
      <w:r w:rsidRPr="00226AFF">
        <w:rPr>
          <w:rFonts w:ascii="Arial" w:eastAsiaTheme="minorEastAsia" w:hAnsi="Arial" w:cs="Arial"/>
          <w:lang w:eastAsia="de-DE"/>
        </w:rPr>
        <w:t xml:space="preserve"> zählte. </w:t>
      </w:r>
      <w:r w:rsidR="0002255D" w:rsidRPr="00226AFF">
        <w:rPr>
          <w:rFonts w:ascii="Arial" w:eastAsiaTheme="minorEastAsia" w:hAnsi="Arial" w:cs="Arial"/>
          <w:lang w:eastAsia="de-DE"/>
        </w:rPr>
        <w:t xml:space="preserve">Bei den bestehenden Kunden ist die Zufriedenheit ungebremst: So hat die Gruppe der </w:t>
      </w:r>
      <w:proofErr w:type="spellStart"/>
      <w:r w:rsidR="0002255D" w:rsidRPr="00226AFF">
        <w:rPr>
          <w:rFonts w:ascii="Arial" w:eastAsiaTheme="minorEastAsia" w:hAnsi="Arial" w:cs="Arial"/>
          <w:lang w:eastAsia="de-DE"/>
        </w:rPr>
        <w:t>Sparda</w:t>
      </w:r>
      <w:proofErr w:type="spellEnd"/>
      <w:r w:rsidR="0002255D" w:rsidRPr="00226AFF">
        <w:rPr>
          <w:rFonts w:ascii="Arial" w:eastAsiaTheme="minorEastAsia" w:hAnsi="Arial" w:cs="Arial"/>
          <w:lang w:eastAsia="de-DE"/>
        </w:rPr>
        <w:t>-Banken 2020 bei der Befragung „Kundenmonitor Deutschland“ zum 28</w:t>
      </w:r>
      <w:r w:rsidR="00170AD6" w:rsidRPr="00226AFF">
        <w:rPr>
          <w:rFonts w:ascii="Arial" w:eastAsiaTheme="minorEastAsia" w:hAnsi="Arial" w:cs="Arial"/>
          <w:lang w:eastAsia="de-DE"/>
        </w:rPr>
        <w:t>.</w:t>
      </w:r>
      <w:r w:rsidR="0002255D" w:rsidRPr="00226AFF">
        <w:rPr>
          <w:rFonts w:ascii="Arial" w:eastAsiaTheme="minorEastAsia" w:hAnsi="Arial" w:cs="Arial"/>
          <w:lang w:eastAsia="de-DE"/>
        </w:rPr>
        <w:t xml:space="preserve"> Mal in Folge ihren Spitzenplatz bei der Kundenzufriedenheit verteidigt. Stefan Schindler: „Vor dem Hintergrund der aktuellen Herausforderungen motiviert es uns sehr, dass unsere Kunden unsere genossenschaftlichen Werte wie Fairness, Gemeinsamkeit und Transparenz teilen und honorieren.</w:t>
      </w:r>
      <w:r w:rsidR="00D80C8A" w:rsidRPr="00226AFF">
        <w:rPr>
          <w:rFonts w:ascii="Arial" w:eastAsiaTheme="minorEastAsia" w:hAnsi="Arial" w:cs="Arial"/>
          <w:lang w:eastAsia="de-DE"/>
        </w:rPr>
        <w:t>“</w:t>
      </w:r>
      <w:r w:rsidR="0002255D" w:rsidRPr="00226AFF">
        <w:rPr>
          <w:rFonts w:ascii="Arial" w:eastAsiaTheme="minorEastAsia" w:hAnsi="Arial" w:cs="Arial"/>
          <w:lang w:eastAsia="de-DE"/>
        </w:rPr>
        <w:t xml:space="preserve">  </w:t>
      </w:r>
    </w:p>
    <w:p w14:paraId="5B1DAD08" w14:textId="1C83FB68" w:rsidR="0002255D" w:rsidRPr="00226AFF" w:rsidRDefault="0002255D" w:rsidP="002B2F88">
      <w:pPr>
        <w:spacing w:after="0" w:line="360" w:lineRule="auto"/>
        <w:rPr>
          <w:rFonts w:ascii="Arial" w:eastAsiaTheme="minorEastAsia" w:hAnsi="Arial" w:cs="Arial"/>
          <w:lang w:eastAsia="de-DE"/>
        </w:rPr>
      </w:pPr>
    </w:p>
    <w:p w14:paraId="0E5073B1" w14:textId="677FBECC" w:rsidR="0002255D" w:rsidRPr="00226AFF" w:rsidRDefault="00E97554" w:rsidP="002B2F88">
      <w:pPr>
        <w:spacing w:after="0" w:line="360" w:lineRule="auto"/>
        <w:rPr>
          <w:rFonts w:ascii="Arial" w:eastAsiaTheme="minorEastAsia" w:hAnsi="Arial" w:cs="Arial"/>
          <w:i/>
          <w:iCs/>
          <w:lang w:eastAsia="de-DE"/>
        </w:rPr>
      </w:pPr>
      <w:r w:rsidRPr="00226AFF">
        <w:rPr>
          <w:rFonts w:ascii="Arial" w:eastAsiaTheme="minorEastAsia" w:hAnsi="Arial" w:cs="Arial"/>
          <w:i/>
          <w:iCs/>
          <w:lang w:eastAsia="de-DE"/>
        </w:rPr>
        <w:t>Bilanzsumme 2020</w:t>
      </w:r>
    </w:p>
    <w:p w14:paraId="2AC78F2C" w14:textId="31B86C35" w:rsidR="00E97554" w:rsidRPr="00226AFF" w:rsidRDefault="00E97554" w:rsidP="002B2F88">
      <w:pPr>
        <w:spacing w:after="0" w:line="360" w:lineRule="auto"/>
        <w:rPr>
          <w:rFonts w:ascii="Arial" w:hAnsi="Arial"/>
        </w:rPr>
      </w:pPr>
      <w:r w:rsidRPr="00226AFF">
        <w:rPr>
          <w:rFonts w:ascii="Arial" w:eastAsiaTheme="minorEastAsia" w:hAnsi="Arial" w:cs="Arial"/>
          <w:lang w:eastAsia="de-DE"/>
        </w:rPr>
        <w:t xml:space="preserve">Ein moderates Plus verzeichnete die </w:t>
      </w:r>
      <w:proofErr w:type="spellStart"/>
      <w:r w:rsidRPr="00226AFF">
        <w:rPr>
          <w:rFonts w:ascii="Arial" w:eastAsiaTheme="minorEastAsia" w:hAnsi="Arial" w:cs="Arial"/>
          <w:lang w:eastAsia="de-DE"/>
        </w:rPr>
        <w:t>Sparda-Bank</w:t>
      </w:r>
      <w:proofErr w:type="spellEnd"/>
      <w:r w:rsidRPr="00226AFF">
        <w:rPr>
          <w:rFonts w:ascii="Arial" w:eastAsiaTheme="minorEastAsia" w:hAnsi="Arial" w:cs="Arial"/>
          <w:lang w:eastAsia="de-DE"/>
        </w:rPr>
        <w:t xml:space="preserve"> Nürnberg bei ihrer </w:t>
      </w:r>
      <w:r w:rsidRPr="0001277F">
        <w:rPr>
          <w:rFonts w:ascii="Arial" w:eastAsiaTheme="minorEastAsia" w:hAnsi="Arial" w:cs="Arial"/>
          <w:b/>
          <w:bCs/>
          <w:lang w:eastAsia="de-DE"/>
        </w:rPr>
        <w:t>Bilan</w:t>
      </w:r>
      <w:r w:rsidR="00E70E85" w:rsidRPr="0001277F">
        <w:rPr>
          <w:rFonts w:ascii="Arial" w:eastAsiaTheme="minorEastAsia" w:hAnsi="Arial" w:cs="Arial"/>
          <w:b/>
          <w:bCs/>
          <w:lang w:eastAsia="de-DE"/>
        </w:rPr>
        <w:t>zsumme</w:t>
      </w:r>
      <w:r w:rsidR="00E70E85" w:rsidRPr="00226AFF">
        <w:rPr>
          <w:rFonts w:ascii="Arial" w:eastAsiaTheme="minorEastAsia" w:hAnsi="Arial" w:cs="Arial"/>
          <w:lang w:eastAsia="de-DE"/>
        </w:rPr>
        <w:t xml:space="preserve">, was auf die Zuflüsse von Kundeneinlagen und einen deutlichen Anstieg bei den Kreditausreichungen zurückzuführen ist. Die Bilanzsumme lag zum Jahresende </w:t>
      </w:r>
      <w:r w:rsidR="00170AD6" w:rsidRPr="00226AFF">
        <w:rPr>
          <w:rFonts w:ascii="Arial" w:eastAsiaTheme="minorEastAsia" w:hAnsi="Arial" w:cs="Arial"/>
          <w:lang w:eastAsia="de-DE"/>
        </w:rPr>
        <w:t>bei</w:t>
      </w:r>
      <w:r w:rsidR="00E70E85" w:rsidRPr="00226AFF">
        <w:rPr>
          <w:rFonts w:ascii="Arial" w:eastAsiaTheme="minorEastAsia" w:hAnsi="Arial" w:cs="Arial"/>
          <w:lang w:eastAsia="de-DE"/>
        </w:rPr>
        <w:t xml:space="preserve"> 4,7</w:t>
      </w:r>
      <w:r w:rsidR="00FE0225" w:rsidRPr="00226AFF">
        <w:rPr>
          <w:rFonts w:ascii="Arial" w:eastAsiaTheme="minorEastAsia" w:hAnsi="Arial" w:cs="Arial"/>
          <w:lang w:eastAsia="de-DE"/>
        </w:rPr>
        <w:t>14</w:t>
      </w:r>
      <w:r w:rsidR="00E70E85" w:rsidRPr="00226AFF">
        <w:rPr>
          <w:rFonts w:ascii="Arial" w:eastAsiaTheme="minorEastAsia" w:hAnsi="Arial" w:cs="Arial"/>
          <w:lang w:eastAsia="de-DE"/>
        </w:rPr>
        <w:t xml:space="preserve"> Milliarden Euro und damit 190,4 Millionen Euro über dem Vorjahr (+ 4,2 Prozent).</w:t>
      </w:r>
    </w:p>
    <w:p w14:paraId="5D68DBC3" w14:textId="371BC79D" w:rsidR="00A2112A" w:rsidRPr="00226AFF" w:rsidRDefault="00A2112A" w:rsidP="002B2F88">
      <w:pPr>
        <w:spacing w:after="0" w:line="360" w:lineRule="auto"/>
        <w:rPr>
          <w:rFonts w:ascii="Arial" w:hAnsi="Arial"/>
        </w:rPr>
      </w:pPr>
    </w:p>
    <w:p w14:paraId="3FC5A5E1" w14:textId="3D841724" w:rsidR="00170AD6" w:rsidRPr="00226AFF" w:rsidRDefault="00170AD6" w:rsidP="002B2F88">
      <w:pPr>
        <w:spacing w:after="0" w:line="360" w:lineRule="auto"/>
        <w:rPr>
          <w:rFonts w:ascii="Arial" w:hAnsi="Arial"/>
          <w:i/>
          <w:iCs/>
        </w:rPr>
      </w:pPr>
      <w:r w:rsidRPr="00226AFF">
        <w:rPr>
          <w:rFonts w:ascii="Arial" w:hAnsi="Arial"/>
          <w:i/>
          <w:iCs/>
        </w:rPr>
        <w:t>Leichtes Plus bei den Kundeneinlagen</w:t>
      </w:r>
    </w:p>
    <w:p w14:paraId="0F788AB6" w14:textId="5D02B74C" w:rsidR="00170AD6" w:rsidRPr="00226AFF" w:rsidRDefault="00170AD6" w:rsidP="002B2F88">
      <w:pPr>
        <w:spacing w:after="0" w:line="360" w:lineRule="auto"/>
        <w:rPr>
          <w:rFonts w:ascii="Arial" w:hAnsi="Arial"/>
        </w:rPr>
      </w:pPr>
      <w:r w:rsidRPr="00226AFF">
        <w:rPr>
          <w:rFonts w:ascii="Arial" w:hAnsi="Arial"/>
        </w:rPr>
        <w:t xml:space="preserve">Eine Steigerung von 1,2 Prozent bzw. 49 Millionen Euro gab es bei den </w:t>
      </w:r>
      <w:r w:rsidRPr="0001277F">
        <w:rPr>
          <w:rFonts w:ascii="Arial" w:hAnsi="Arial"/>
          <w:b/>
          <w:bCs/>
        </w:rPr>
        <w:t>Kundeneinlagen</w:t>
      </w:r>
      <w:r w:rsidRPr="00226AFF">
        <w:rPr>
          <w:rFonts w:ascii="Arial" w:hAnsi="Arial"/>
        </w:rPr>
        <w:t xml:space="preserve"> –</w:t>
      </w:r>
      <w:r w:rsidR="00DF2FC1" w:rsidRPr="00226AFF">
        <w:rPr>
          <w:rFonts w:ascii="Arial" w:hAnsi="Arial"/>
        </w:rPr>
        <w:t xml:space="preserve"> </w:t>
      </w:r>
      <w:r w:rsidRPr="00226AFF">
        <w:rPr>
          <w:rFonts w:ascii="Arial" w:hAnsi="Arial"/>
        </w:rPr>
        <w:t xml:space="preserve">bis Jahresultimo vertrauten die Menschen in Nordbayern der </w:t>
      </w:r>
      <w:proofErr w:type="spellStart"/>
      <w:r w:rsidRPr="00226AFF">
        <w:rPr>
          <w:rFonts w:ascii="Arial" w:hAnsi="Arial"/>
        </w:rPr>
        <w:t>Sparda-Bank</w:t>
      </w:r>
      <w:proofErr w:type="spellEnd"/>
      <w:r w:rsidRPr="00226AFF">
        <w:rPr>
          <w:rFonts w:ascii="Arial" w:hAnsi="Arial"/>
        </w:rPr>
        <w:t xml:space="preserve"> Nürnberg insgesamt 4,1 Milliarden Euro an. Der Großteil der Volumina wurde dabei auf Tagesgeld- und Girokonten geparkt.</w:t>
      </w:r>
    </w:p>
    <w:p w14:paraId="70D43B3E" w14:textId="78F2627E" w:rsidR="002B2F88" w:rsidRPr="00226AFF" w:rsidRDefault="002B2F88" w:rsidP="002B2F88">
      <w:pPr>
        <w:spacing w:after="0" w:line="360" w:lineRule="auto"/>
        <w:rPr>
          <w:rFonts w:ascii="Arial" w:hAnsi="Arial"/>
        </w:rPr>
      </w:pPr>
    </w:p>
    <w:p w14:paraId="05B96FC4" w14:textId="7347F975" w:rsidR="00F0315D" w:rsidRPr="00226AFF" w:rsidRDefault="00F0315D" w:rsidP="002B2F88">
      <w:pPr>
        <w:spacing w:after="0" w:line="360" w:lineRule="auto"/>
        <w:rPr>
          <w:rFonts w:ascii="Arial" w:hAnsi="Arial"/>
          <w:i/>
          <w:iCs/>
        </w:rPr>
      </w:pPr>
      <w:r w:rsidRPr="00226AFF">
        <w:rPr>
          <w:rFonts w:ascii="Arial" w:hAnsi="Arial"/>
          <w:i/>
          <w:iCs/>
        </w:rPr>
        <w:t>Baufinanzierungsgeschäft bleibt stark</w:t>
      </w:r>
    </w:p>
    <w:p w14:paraId="18D10D5B" w14:textId="186B6D4B" w:rsidR="006318A2" w:rsidRPr="00226AFF" w:rsidRDefault="00F0315D" w:rsidP="002B2F88">
      <w:pPr>
        <w:spacing w:after="0" w:line="360" w:lineRule="auto"/>
        <w:rPr>
          <w:rFonts w:ascii="Arial" w:hAnsi="Arial"/>
        </w:rPr>
      </w:pPr>
      <w:r w:rsidRPr="00226AFF">
        <w:rPr>
          <w:rFonts w:ascii="Arial" w:hAnsi="Arial"/>
        </w:rPr>
        <w:t xml:space="preserve">Das Kerngeschäft der </w:t>
      </w:r>
      <w:proofErr w:type="spellStart"/>
      <w:r w:rsidRPr="00226AFF">
        <w:rPr>
          <w:rFonts w:ascii="Arial" w:hAnsi="Arial"/>
        </w:rPr>
        <w:t>Sparda-Bank</w:t>
      </w:r>
      <w:proofErr w:type="spellEnd"/>
      <w:r w:rsidRPr="00226AFF">
        <w:rPr>
          <w:rFonts w:ascii="Arial" w:hAnsi="Arial"/>
        </w:rPr>
        <w:t xml:space="preserve"> Nürnberg ist und bleibt die Baufinanzierung und auch für die Menschen in Nordbayern stehen Immobilienkredite weiter im Fokus. So entwickelten sich die </w:t>
      </w:r>
      <w:r w:rsidRPr="00226AFF">
        <w:rPr>
          <w:rFonts w:ascii="Arial" w:hAnsi="Arial"/>
          <w:b/>
          <w:bCs/>
        </w:rPr>
        <w:t>Baufinanzierungszusagen</w:t>
      </w:r>
      <w:r w:rsidRPr="00226AFF">
        <w:rPr>
          <w:rFonts w:ascii="Arial" w:hAnsi="Arial"/>
        </w:rPr>
        <w:t xml:space="preserve"> weiter </w:t>
      </w:r>
      <w:r w:rsidR="008B26F6" w:rsidRPr="00226AFF">
        <w:rPr>
          <w:rFonts w:ascii="Arial" w:hAnsi="Arial"/>
        </w:rPr>
        <w:t>positiv</w:t>
      </w:r>
      <w:r w:rsidRPr="00226AFF">
        <w:rPr>
          <w:rFonts w:ascii="Arial" w:hAnsi="Arial"/>
        </w:rPr>
        <w:t xml:space="preserve"> und lagen zum 31.12.2020 bei </w:t>
      </w:r>
      <w:r w:rsidR="00496678" w:rsidRPr="00226AFF">
        <w:rPr>
          <w:rFonts w:ascii="Arial" w:hAnsi="Arial"/>
        </w:rPr>
        <w:t>669</w:t>
      </w:r>
      <w:r w:rsidR="00854485">
        <w:rPr>
          <w:rFonts w:ascii="Arial" w:hAnsi="Arial"/>
        </w:rPr>
        <w:t>,4</w:t>
      </w:r>
      <w:r w:rsidRPr="00226AFF">
        <w:rPr>
          <w:rFonts w:ascii="Arial" w:hAnsi="Arial"/>
        </w:rPr>
        <w:t xml:space="preserve"> Millionen Euro, rund </w:t>
      </w:r>
      <w:r w:rsidR="00496678" w:rsidRPr="00226AFF">
        <w:rPr>
          <w:rFonts w:ascii="Arial" w:hAnsi="Arial"/>
        </w:rPr>
        <w:t>1</w:t>
      </w:r>
      <w:r w:rsidR="00ED324A" w:rsidRPr="00226AFF">
        <w:rPr>
          <w:rFonts w:ascii="Arial" w:hAnsi="Arial"/>
        </w:rPr>
        <w:t>,</w:t>
      </w:r>
      <w:r w:rsidRPr="00226AFF">
        <w:rPr>
          <w:rFonts w:ascii="Arial" w:hAnsi="Arial"/>
        </w:rPr>
        <w:t xml:space="preserve">9 Prozent </w:t>
      </w:r>
      <w:r w:rsidR="008B26F6" w:rsidRPr="00226AFF">
        <w:rPr>
          <w:rFonts w:ascii="Arial" w:hAnsi="Arial"/>
        </w:rPr>
        <w:t>mehr</w:t>
      </w:r>
      <w:r w:rsidRPr="00226AFF">
        <w:rPr>
          <w:rFonts w:ascii="Arial" w:hAnsi="Arial"/>
        </w:rPr>
        <w:t xml:space="preserve"> als beim Rekordergebnis 2019</w:t>
      </w:r>
      <w:r w:rsidR="00496678" w:rsidRPr="00226AFF">
        <w:rPr>
          <w:rFonts w:ascii="Arial" w:hAnsi="Arial"/>
        </w:rPr>
        <w:t xml:space="preserve"> (+ 12,4 Millionen Euro)</w:t>
      </w:r>
      <w:r w:rsidRPr="00226AFF">
        <w:rPr>
          <w:rFonts w:ascii="Arial" w:hAnsi="Arial"/>
        </w:rPr>
        <w:t xml:space="preserve">. </w:t>
      </w:r>
      <w:r w:rsidR="008B26F6" w:rsidRPr="00226AFF">
        <w:rPr>
          <w:rFonts w:ascii="Arial" w:hAnsi="Arial"/>
        </w:rPr>
        <w:t>Besonders i</w:t>
      </w:r>
      <w:r w:rsidRPr="00226AFF">
        <w:rPr>
          <w:rFonts w:ascii="Arial" w:hAnsi="Arial"/>
        </w:rPr>
        <w:t>m Fünf-Jahres-Vergleich zeigt sich eine signifikante Wachstumsrate: 2016 lagen die Neuzusagen noch bei 397,5 Millionen Euro. Stefan Schindler zeigt sich zufrieden: „</w:t>
      </w:r>
      <w:r w:rsidR="00CE7693" w:rsidRPr="00226AFF">
        <w:rPr>
          <w:rFonts w:ascii="Arial" w:hAnsi="Arial"/>
        </w:rPr>
        <w:t xml:space="preserve">Diese positive Entwicklung spiegelt die starke Positionierung der </w:t>
      </w:r>
      <w:proofErr w:type="spellStart"/>
      <w:r w:rsidR="00CE7693" w:rsidRPr="00226AFF">
        <w:rPr>
          <w:rFonts w:ascii="Arial" w:hAnsi="Arial"/>
        </w:rPr>
        <w:t>Sparda-Bank</w:t>
      </w:r>
      <w:proofErr w:type="spellEnd"/>
      <w:r w:rsidR="00CE7693" w:rsidRPr="00226AFF">
        <w:rPr>
          <w:rFonts w:ascii="Arial" w:hAnsi="Arial"/>
        </w:rPr>
        <w:t xml:space="preserve"> Nürnberg als </w:t>
      </w:r>
      <w:r w:rsidR="006318A2" w:rsidRPr="00226AFF">
        <w:rPr>
          <w:rFonts w:ascii="Arial" w:hAnsi="Arial"/>
        </w:rPr>
        <w:t xml:space="preserve">regionaler </w:t>
      </w:r>
      <w:proofErr w:type="spellStart"/>
      <w:r w:rsidR="006318A2" w:rsidRPr="00226AFF">
        <w:rPr>
          <w:rFonts w:ascii="Arial" w:hAnsi="Arial"/>
        </w:rPr>
        <w:t>Baufinanzierer</w:t>
      </w:r>
      <w:proofErr w:type="spellEnd"/>
      <w:r w:rsidR="006318A2" w:rsidRPr="00226AFF">
        <w:rPr>
          <w:rFonts w:ascii="Arial" w:hAnsi="Arial"/>
        </w:rPr>
        <w:t xml:space="preserve"> wider</w:t>
      </w:r>
      <w:r w:rsidRPr="00226AFF">
        <w:rPr>
          <w:rFonts w:ascii="Arial" w:hAnsi="Arial"/>
        </w:rPr>
        <w:t>. Im Rahmen unserer ‚Zukunftsstrategie 2030‘</w:t>
      </w:r>
      <w:r w:rsidR="00CE7693" w:rsidRPr="00226AFF">
        <w:rPr>
          <w:rFonts w:ascii="Arial" w:hAnsi="Arial"/>
        </w:rPr>
        <w:t xml:space="preserve"> werden wir das Wachstum in </w:t>
      </w:r>
      <w:r w:rsidR="006318A2" w:rsidRPr="00226AFF">
        <w:rPr>
          <w:rFonts w:ascii="Arial" w:hAnsi="Arial"/>
        </w:rPr>
        <w:t>diesem Bereich</w:t>
      </w:r>
      <w:r w:rsidR="00CE7693" w:rsidRPr="00226AFF">
        <w:rPr>
          <w:rFonts w:ascii="Arial" w:hAnsi="Arial"/>
        </w:rPr>
        <w:t xml:space="preserve"> weiter forcieren, indem wir neue Märkte und neue Zielgruppen erschließen.“</w:t>
      </w:r>
      <w:r w:rsidR="008B26F6" w:rsidRPr="00226AFF">
        <w:rPr>
          <w:rFonts w:ascii="Arial" w:hAnsi="Arial"/>
        </w:rPr>
        <w:t xml:space="preserve"> Auch i</w:t>
      </w:r>
      <w:r w:rsidR="006318A2" w:rsidRPr="00226AFF">
        <w:rPr>
          <w:rFonts w:ascii="Arial" w:hAnsi="Arial"/>
        </w:rPr>
        <w:t xml:space="preserve">m </w:t>
      </w:r>
      <w:r w:rsidR="006318A2" w:rsidRPr="00226AFF">
        <w:rPr>
          <w:rFonts w:ascii="Arial" w:hAnsi="Arial"/>
          <w:b/>
          <w:bCs/>
        </w:rPr>
        <w:t xml:space="preserve">Privatkreditgeschäft </w:t>
      </w:r>
      <w:r w:rsidR="006318A2" w:rsidRPr="00226AFF">
        <w:rPr>
          <w:rFonts w:ascii="Arial" w:hAnsi="Arial"/>
        </w:rPr>
        <w:t xml:space="preserve">kann die Genossenschaftsbank für das vergangene Jahr einen Zuwachs vermelden: Der Bestand erhöhte sich auf 126,6 Millionen Euro. Im Vorjahreszeitraum lag dieser bei 121,7 Millionen Euro (+ 4,1 Prozent). Der </w:t>
      </w:r>
      <w:r w:rsidR="006318A2" w:rsidRPr="00226AFF">
        <w:rPr>
          <w:rFonts w:ascii="Arial" w:hAnsi="Arial"/>
          <w:b/>
          <w:bCs/>
        </w:rPr>
        <w:lastRenderedPageBreak/>
        <w:t>Gesamtkreditbestand</w:t>
      </w:r>
      <w:r w:rsidR="006318A2" w:rsidRPr="00226AFF">
        <w:rPr>
          <w:rFonts w:ascii="Arial" w:hAnsi="Arial"/>
        </w:rPr>
        <w:t xml:space="preserve"> kletterte auf </w:t>
      </w:r>
      <w:r w:rsidR="00496678" w:rsidRPr="00226AFF">
        <w:rPr>
          <w:rFonts w:ascii="Arial" w:hAnsi="Arial"/>
        </w:rPr>
        <w:t>3,2</w:t>
      </w:r>
      <w:r w:rsidR="006318A2" w:rsidRPr="00226AFF">
        <w:rPr>
          <w:rFonts w:ascii="Arial" w:hAnsi="Arial"/>
        </w:rPr>
        <w:t xml:space="preserve"> Milliarden Euro, was einer Steigerung um </w:t>
      </w:r>
      <w:r w:rsidR="00496678" w:rsidRPr="00226AFF">
        <w:rPr>
          <w:rFonts w:ascii="Arial" w:hAnsi="Arial"/>
        </w:rPr>
        <w:t>10,2</w:t>
      </w:r>
      <w:r w:rsidR="006318A2" w:rsidRPr="00226AFF">
        <w:rPr>
          <w:rFonts w:ascii="Arial" w:hAnsi="Arial"/>
        </w:rPr>
        <w:t xml:space="preserve"> Prozent entspricht. </w:t>
      </w:r>
    </w:p>
    <w:p w14:paraId="7ACFB256" w14:textId="0CF9958A" w:rsidR="00545E9A" w:rsidRPr="00226AFF" w:rsidRDefault="00545E9A" w:rsidP="002B2F88">
      <w:pPr>
        <w:spacing w:after="0" w:line="360" w:lineRule="auto"/>
        <w:rPr>
          <w:rFonts w:ascii="Arial" w:hAnsi="Arial"/>
        </w:rPr>
      </w:pPr>
    </w:p>
    <w:p w14:paraId="5DEA9231" w14:textId="7BF9F50F" w:rsidR="00545E9A" w:rsidRPr="00226AFF" w:rsidRDefault="00545E9A" w:rsidP="002B2F88">
      <w:pPr>
        <w:spacing w:after="0" w:line="360" w:lineRule="auto"/>
        <w:rPr>
          <w:rFonts w:ascii="Arial" w:hAnsi="Arial"/>
          <w:i/>
          <w:iCs/>
        </w:rPr>
      </w:pPr>
      <w:r w:rsidRPr="00226AFF">
        <w:rPr>
          <w:rFonts w:ascii="Arial" w:hAnsi="Arial"/>
          <w:i/>
          <w:iCs/>
        </w:rPr>
        <w:t>Vermittlungsgeschäft: Fonds-Ansparpläne immer beliebter</w:t>
      </w:r>
    </w:p>
    <w:p w14:paraId="3F3B31AB" w14:textId="5F3E46F5" w:rsidR="00545E9A" w:rsidRPr="00226AFF" w:rsidRDefault="00545E9A" w:rsidP="002B2F88">
      <w:pPr>
        <w:spacing w:after="0" w:line="360" w:lineRule="auto"/>
        <w:rPr>
          <w:rFonts w:ascii="Arial" w:hAnsi="Arial"/>
        </w:rPr>
      </w:pPr>
      <w:r w:rsidRPr="00226AFF">
        <w:rPr>
          <w:rFonts w:ascii="Arial" w:hAnsi="Arial"/>
        </w:rPr>
        <w:t xml:space="preserve">Zum soliden Geschäftsergebnis 2020 haben auch die Kooperationspartner im Vermittlungsgeschäft beigetragen. Das </w:t>
      </w:r>
      <w:r w:rsidRPr="00226AFF">
        <w:rPr>
          <w:rFonts w:ascii="Arial" w:hAnsi="Arial"/>
          <w:b/>
          <w:bCs/>
        </w:rPr>
        <w:t>Fondsgeschäft</w:t>
      </w:r>
      <w:r w:rsidR="008C30B6" w:rsidRPr="00226AFF">
        <w:rPr>
          <w:rFonts w:ascii="Arial" w:hAnsi="Arial"/>
        </w:rPr>
        <w:t xml:space="preserve"> mit der Union Investment </w:t>
      </w:r>
      <w:r w:rsidRPr="00226AFF">
        <w:rPr>
          <w:rFonts w:ascii="Arial" w:hAnsi="Arial"/>
        </w:rPr>
        <w:t>verbesserte sich klar: Der Bestand belief sich zum Jahresende auf 803,9 Millionen Euro (31.12.2019: 774,7 Millionen Euro)</w:t>
      </w:r>
      <w:r w:rsidR="008C30B6" w:rsidRPr="00226AFF">
        <w:rPr>
          <w:rFonts w:ascii="Arial" w:hAnsi="Arial"/>
        </w:rPr>
        <w:t xml:space="preserve">. </w:t>
      </w:r>
      <w:r w:rsidR="00B65F95" w:rsidRPr="00226AFF">
        <w:rPr>
          <w:rFonts w:ascii="Arial" w:hAnsi="Arial"/>
        </w:rPr>
        <w:t xml:space="preserve">Hier machte sich auch die zunehmende Popularität von Fonds-Ansparplänen bemerkbar, die von den </w:t>
      </w:r>
      <w:proofErr w:type="spellStart"/>
      <w:r w:rsidR="00B65F95" w:rsidRPr="00226AFF">
        <w:rPr>
          <w:rFonts w:ascii="Arial" w:hAnsi="Arial"/>
        </w:rPr>
        <w:t>Sparda-Bank</w:t>
      </w:r>
      <w:proofErr w:type="spellEnd"/>
      <w:r w:rsidR="00B65F95" w:rsidRPr="00226AFF">
        <w:rPr>
          <w:rFonts w:ascii="Arial" w:hAnsi="Arial"/>
        </w:rPr>
        <w:t xml:space="preserve">-Kunden verstärkt </w:t>
      </w:r>
      <w:r w:rsidR="005B747F" w:rsidRPr="00226AFF">
        <w:rPr>
          <w:rFonts w:ascii="Arial" w:hAnsi="Arial"/>
        </w:rPr>
        <w:t>für den Vermögensaufbau</w:t>
      </w:r>
      <w:r w:rsidR="00B65F95" w:rsidRPr="00226AFF">
        <w:rPr>
          <w:rFonts w:ascii="Arial" w:hAnsi="Arial"/>
        </w:rPr>
        <w:t xml:space="preserve"> genutzt werden. </w:t>
      </w:r>
      <w:r w:rsidR="008C30B6" w:rsidRPr="00226AFF">
        <w:rPr>
          <w:rFonts w:ascii="Arial" w:hAnsi="Arial"/>
        </w:rPr>
        <w:t xml:space="preserve">Das Bauspargeschäft entwickelte sich differenzierter: Vor dem Hintergrund der niedrigen Baufinanzierungszinsen spielt der klassische Bausparvertrag bei der Finanzierung derzeit nur eine untergeordnete Rolle. Für die Wohnungsbauprämie, die Arbeitnehmersparzulage und die </w:t>
      </w:r>
      <w:proofErr w:type="spellStart"/>
      <w:r w:rsidR="008C30B6" w:rsidRPr="00226AFF">
        <w:rPr>
          <w:rFonts w:ascii="Arial" w:hAnsi="Arial"/>
        </w:rPr>
        <w:t>Riesterförderung</w:t>
      </w:r>
      <w:proofErr w:type="spellEnd"/>
      <w:r w:rsidR="008C30B6" w:rsidRPr="00226AFF">
        <w:rPr>
          <w:rFonts w:ascii="Arial" w:hAnsi="Arial"/>
        </w:rPr>
        <w:t xml:space="preserve"> bleibt der Sparvertrag jedoch attraktiv. Die </w:t>
      </w:r>
      <w:r w:rsidR="008C30B6" w:rsidRPr="00226AFF">
        <w:rPr>
          <w:rFonts w:ascii="Arial" w:hAnsi="Arial"/>
          <w:b/>
          <w:bCs/>
        </w:rPr>
        <w:t>vermittelte Bausparsumme</w:t>
      </w:r>
      <w:r w:rsidR="008C30B6" w:rsidRPr="00226AFF">
        <w:rPr>
          <w:rFonts w:ascii="Arial" w:hAnsi="Arial"/>
        </w:rPr>
        <w:t xml:space="preserve"> der </w:t>
      </w:r>
      <w:proofErr w:type="spellStart"/>
      <w:r w:rsidR="008C30B6" w:rsidRPr="00226AFF">
        <w:rPr>
          <w:rFonts w:ascii="Arial" w:hAnsi="Arial"/>
        </w:rPr>
        <w:t>Sparda-Bank</w:t>
      </w:r>
      <w:proofErr w:type="spellEnd"/>
      <w:r w:rsidR="008C30B6" w:rsidRPr="00226AFF">
        <w:rPr>
          <w:rFonts w:ascii="Arial" w:hAnsi="Arial"/>
        </w:rPr>
        <w:t xml:space="preserve"> Nürnberg an Schwäbisch Hall summierte sich bis zum 31.12.2020 auf ein Volumen in Höhe von 101,3 Millionen Euro – ein Rückgang um 6,2 Millionen Euro.</w:t>
      </w:r>
    </w:p>
    <w:p w14:paraId="2F390F78" w14:textId="77777777" w:rsidR="002B2F88" w:rsidRPr="00226AFF" w:rsidRDefault="002B2F88" w:rsidP="002B2F88">
      <w:pPr>
        <w:spacing w:after="0" w:line="360" w:lineRule="auto"/>
        <w:rPr>
          <w:rFonts w:ascii="Arial" w:hAnsi="Arial"/>
        </w:rPr>
      </w:pPr>
    </w:p>
    <w:p w14:paraId="41D0BE6F" w14:textId="495993FC" w:rsidR="002B2F88" w:rsidRPr="00226AFF" w:rsidRDefault="008C30B6" w:rsidP="002B2F88">
      <w:pPr>
        <w:spacing w:after="0" w:line="360" w:lineRule="auto"/>
        <w:rPr>
          <w:rFonts w:ascii="Arial" w:hAnsi="Arial"/>
          <w:i/>
          <w:iCs/>
        </w:rPr>
      </w:pPr>
      <w:r w:rsidRPr="00226AFF">
        <w:rPr>
          <w:rFonts w:ascii="Arial" w:hAnsi="Arial"/>
          <w:i/>
          <w:iCs/>
        </w:rPr>
        <w:t>Gewinn- und Verlustrechnung 2020</w:t>
      </w:r>
    </w:p>
    <w:p w14:paraId="7258EB35" w14:textId="4AA0E73D" w:rsidR="002B2F88" w:rsidRPr="00226AFF" w:rsidRDefault="00A70982" w:rsidP="002B2F88">
      <w:pPr>
        <w:pStyle w:val="HTMLVorformatiert"/>
        <w:spacing w:line="360" w:lineRule="auto"/>
        <w:ind w:right="271"/>
        <w:rPr>
          <w:rFonts w:ascii="Arial" w:eastAsia="SimSun" w:hAnsi="Arial"/>
          <w:sz w:val="22"/>
          <w:szCs w:val="24"/>
          <w:lang w:val="de-DE" w:eastAsia="zh-CN"/>
        </w:rPr>
      </w:pPr>
      <w:r w:rsidRPr="00226AFF">
        <w:rPr>
          <w:rFonts w:ascii="Arial" w:eastAsia="SimSun" w:hAnsi="Arial"/>
          <w:sz w:val="22"/>
          <w:szCs w:val="24"/>
          <w:lang w:val="de-DE" w:eastAsia="zh-CN"/>
        </w:rPr>
        <w:t xml:space="preserve">Aufgrund von Sondereffekten steigerte die </w:t>
      </w:r>
      <w:proofErr w:type="spellStart"/>
      <w:r w:rsidRPr="00226AFF">
        <w:rPr>
          <w:rFonts w:ascii="Arial" w:eastAsia="SimSun" w:hAnsi="Arial"/>
          <w:sz w:val="22"/>
          <w:szCs w:val="24"/>
          <w:lang w:val="de-DE" w:eastAsia="zh-CN"/>
        </w:rPr>
        <w:t>Sparda-Bank</w:t>
      </w:r>
      <w:proofErr w:type="spellEnd"/>
      <w:r w:rsidRPr="00226AFF">
        <w:rPr>
          <w:rFonts w:ascii="Arial" w:eastAsia="SimSun" w:hAnsi="Arial"/>
          <w:sz w:val="22"/>
          <w:szCs w:val="24"/>
          <w:lang w:val="de-DE" w:eastAsia="zh-CN"/>
        </w:rPr>
        <w:t xml:space="preserve"> Nürnberg den </w:t>
      </w:r>
      <w:r w:rsidRPr="00226AFF">
        <w:rPr>
          <w:rFonts w:ascii="Arial" w:eastAsia="SimSun" w:hAnsi="Arial"/>
          <w:b/>
          <w:bCs/>
          <w:sz w:val="22"/>
          <w:szCs w:val="24"/>
          <w:lang w:val="de-DE" w:eastAsia="zh-CN"/>
        </w:rPr>
        <w:t>Zinsüberschuss</w:t>
      </w:r>
      <w:r w:rsidRPr="00226AFF">
        <w:rPr>
          <w:rFonts w:ascii="Arial" w:eastAsia="SimSun" w:hAnsi="Arial"/>
          <w:sz w:val="22"/>
          <w:szCs w:val="24"/>
          <w:lang w:val="de-DE" w:eastAsia="zh-CN"/>
        </w:rPr>
        <w:t xml:space="preserve"> im Jahr 2020 um 1,4 Prozent bzw. 81</w:t>
      </w:r>
      <w:r w:rsidR="00496678" w:rsidRPr="00226AFF">
        <w:rPr>
          <w:rFonts w:ascii="Arial" w:eastAsia="SimSun" w:hAnsi="Arial"/>
          <w:sz w:val="22"/>
          <w:szCs w:val="24"/>
          <w:lang w:val="de-DE" w:eastAsia="zh-CN"/>
        </w:rPr>
        <w:t>8</w:t>
      </w:r>
      <w:r w:rsidRPr="00226AFF">
        <w:rPr>
          <w:rFonts w:ascii="Arial" w:eastAsia="SimSun" w:hAnsi="Arial"/>
          <w:sz w:val="22"/>
          <w:szCs w:val="24"/>
          <w:lang w:val="de-DE" w:eastAsia="zh-CN"/>
        </w:rPr>
        <w:t xml:space="preserve">.000 Euro auf 60,4 Millionen Euro. Der </w:t>
      </w:r>
      <w:r w:rsidRPr="00226AFF">
        <w:rPr>
          <w:rFonts w:ascii="Arial" w:eastAsia="SimSun" w:hAnsi="Arial"/>
          <w:b/>
          <w:bCs/>
          <w:sz w:val="22"/>
          <w:szCs w:val="24"/>
          <w:lang w:val="de-DE" w:eastAsia="zh-CN"/>
        </w:rPr>
        <w:t>Provisionsüberschuss</w:t>
      </w:r>
      <w:r w:rsidRPr="00226AFF">
        <w:rPr>
          <w:rFonts w:ascii="Arial" w:eastAsia="SimSun" w:hAnsi="Arial"/>
          <w:sz w:val="22"/>
          <w:szCs w:val="24"/>
          <w:lang w:val="de-DE" w:eastAsia="zh-CN"/>
        </w:rPr>
        <w:t xml:space="preserve"> erhöhte sich um 9,6 Prozent auf 7,5 Millionen Euro (2019: 6,</w:t>
      </w:r>
      <w:r w:rsidR="007D5E16" w:rsidRPr="00226AFF">
        <w:rPr>
          <w:rFonts w:ascii="Arial" w:eastAsia="SimSun" w:hAnsi="Arial"/>
          <w:sz w:val="22"/>
          <w:szCs w:val="24"/>
          <w:lang w:val="de-DE" w:eastAsia="zh-CN"/>
        </w:rPr>
        <w:t>8</w:t>
      </w:r>
      <w:r w:rsidRPr="00226AFF">
        <w:rPr>
          <w:rFonts w:ascii="Arial" w:eastAsia="SimSun" w:hAnsi="Arial"/>
          <w:sz w:val="22"/>
          <w:szCs w:val="24"/>
          <w:lang w:val="de-DE" w:eastAsia="zh-CN"/>
        </w:rPr>
        <w:t xml:space="preserve"> Millionen Euro). In Summe erwirtschaftete die </w:t>
      </w:r>
      <w:proofErr w:type="spellStart"/>
      <w:r w:rsidRPr="00226AFF">
        <w:rPr>
          <w:rFonts w:ascii="Arial" w:eastAsia="SimSun" w:hAnsi="Arial"/>
          <w:sz w:val="22"/>
          <w:szCs w:val="24"/>
          <w:lang w:val="de-DE" w:eastAsia="zh-CN"/>
        </w:rPr>
        <w:t>Sparda-Bank</w:t>
      </w:r>
      <w:proofErr w:type="spellEnd"/>
      <w:r w:rsidRPr="00226AFF">
        <w:rPr>
          <w:rFonts w:ascii="Arial" w:eastAsia="SimSun" w:hAnsi="Arial"/>
          <w:sz w:val="22"/>
          <w:szCs w:val="24"/>
          <w:lang w:val="de-DE" w:eastAsia="zh-CN"/>
        </w:rPr>
        <w:t xml:space="preserve"> </w:t>
      </w:r>
      <w:r w:rsidR="007A280D" w:rsidRPr="00226AFF">
        <w:rPr>
          <w:rFonts w:ascii="Arial" w:eastAsia="SimSun" w:hAnsi="Arial"/>
          <w:sz w:val="22"/>
          <w:szCs w:val="24"/>
          <w:lang w:val="de-DE" w:eastAsia="zh-CN"/>
        </w:rPr>
        <w:t>ein</w:t>
      </w:r>
      <w:r w:rsidR="0014476E" w:rsidRPr="00226AFF">
        <w:rPr>
          <w:rFonts w:ascii="Arial" w:eastAsia="SimSun" w:hAnsi="Arial"/>
          <w:sz w:val="22"/>
          <w:szCs w:val="24"/>
          <w:lang w:val="de-DE" w:eastAsia="zh-CN"/>
        </w:rPr>
        <w:t>en</w:t>
      </w:r>
      <w:r w:rsidR="007A280D" w:rsidRPr="00226AFF">
        <w:rPr>
          <w:rFonts w:ascii="Arial" w:eastAsia="SimSun" w:hAnsi="Arial"/>
          <w:sz w:val="22"/>
          <w:szCs w:val="24"/>
          <w:lang w:val="de-DE" w:eastAsia="zh-CN"/>
        </w:rPr>
        <w:t xml:space="preserve"> </w:t>
      </w:r>
      <w:r w:rsidR="007A280D" w:rsidRPr="00226AFF">
        <w:rPr>
          <w:rFonts w:ascii="Arial" w:eastAsia="SimSun" w:hAnsi="Arial"/>
          <w:b/>
          <w:bCs/>
          <w:sz w:val="22"/>
          <w:szCs w:val="24"/>
          <w:lang w:val="de-DE" w:eastAsia="zh-CN"/>
        </w:rPr>
        <w:t>Jahres</w:t>
      </w:r>
      <w:r w:rsidR="009A1D75" w:rsidRPr="00226AFF">
        <w:rPr>
          <w:rFonts w:ascii="Arial" w:eastAsia="SimSun" w:hAnsi="Arial"/>
          <w:b/>
          <w:bCs/>
          <w:sz w:val="22"/>
          <w:szCs w:val="24"/>
          <w:lang w:val="de-DE" w:eastAsia="zh-CN"/>
        </w:rPr>
        <w:t>überschuss</w:t>
      </w:r>
      <w:r w:rsidRPr="00226AFF">
        <w:rPr>
          <w:rFonts w:ascii="Arial" w:eastAsia="SimSun" w:hAnsi="Arial"/>
          <w:sz w:val="22"/>
          <w:szCs w:val="24"/>
          <w:lang w:val="de-DE" w:eastAsia="zh-CN"/>
        </w:rPr>
        <w:t xml:space="preserve"> von </w:t>
      </w:r>
      <w:r w:rsidR="006D7D23" w:rsidRPr="00226AFF">
        <w:rPr>
          <w:rFonts w:ascii="Arial" w:eastAsia="SimSun" w:hAnsi="Arial"/>
          <w:sz w:val="22"/>
          <w:szCs w:val="24"/>
          <w:lang w:val="de-DE" w:eastAsia="zh-CN"/>
        </w:rPr>
        <w:t xml:space="preserve">4,2 Millionen </w:t>
      </w:r>
      <w:r w:rsidRPr="00226AFF">
        <w:rPr>
          <w:rFonts w:ascii="Arial" w:eastAsia="SimSun" w:hAnsi="Arial"/>
          <w:sz w:val="22"/>
          <w:szCs w:val="24"/>
          <w:lang w:val="de-DE" w:eastAsia="zh-CN"/>
        </w:rPr>
        <w:t>Euro</w:t>
      </w:r>
      <w:r w:rsidR="006D7D23" w:rsidRPr="00226AFF">
        <w:rPr>
          <w:rFonts w:ascii="Arial" w:eastAsia="SimSun" w:hAnsi="Arial"/>
          <w:sz w:val="22"/>
          <w:szCs w:val="24"/>
          <w:lang w:val="de-DE" w:eastAsia="zh-CN"/>
        </w:rPr>
        <w:t xml:space="preserve"> und damit 1,0 Millionen Euro weniger als im Vorjahr</w:t>
      </w:r>
      <w:r w:rsidRPr="00226AFF">
        <w:rPr>
          <w:rFonts w:ascii="Arial" w:eastAsia="SimSun" w:hAnsi="Arial"/>
          <w:sz w:val="22"/>
          <w:szCs w:val="24"/>
          <w:lang w:val="de-DE" w:eastAsia="zh-CN"/>
        </w:rPr>
        <w:t>. Dennoch ist geplant, der Vertreterversammlung im Sommer 2020 wieder eine Dividendenausschüttung vorzuschlagen. Stefan Schindler: „Im Sinne unseres genossenschaftlichen Förderauftrags sehen wir die Dividendenausschüttung als prägenden Teil unserer Arbeit.“</w:t>
      </w:r>
    </w:p>
    <w:p w14:paraId="4C0639CD" w14:textId="77777777" w:rsidR="008C30B6" w:rsidRPr="00226AFF" w:rsidRDefault="008C30B6" w:rsidP="002B2F88">
      <w:pPr>
        <w:pStyle w:val="HTMLVorformatiert"/>
        <w:spacing w:line="360" w:lineRule="auto"/>
        <w:ind w:right="271"/>
        <w:rPr>
          <w:rFonts w:ascii="Arial" w:eastAsia="SimSun" w:hAnsi="Arial"/>
          <w:sz w:val="22"/>
          <w:szCs w:val="24"/>
          <w:lang w:val="de-DE" w:eastAsia="zh-CN"/>
        </w:rPr>
      </w:pPr>
    </w:p>
    <w:p w14:paraId="26C0FE59" w14:textId="21DD6B05" w:rsidR="002B2F88" w:rsidRPr="00226AFF" w:rsidRDefault="00017DC0" w:rsidP="002B2F88">
      <w:pPr>
        <w:pStyle w:val="HTMLVorformatiert"/>
        <w:spacing w:line="360" w:lineRule="auto"/>
        <w:ind w:right="271"/>
        <w:rPr>
          <w:rFonts w:ascii="Arial" w:eastAsia="SimSun" w:hAnsi="Arial"/>
          <w:i/>
          <w:iCs/>
          <w:sz w:val="22"/>
          <w:szCs w:val="24"/>
          <w:lang w:val="de-DE" w:eastAsia="zh-CN"/>
        </w:rPr>
      </w:pPr>
      <w:r w:rsidRPr="00226AFF">
        <w:rPr>
          <w:rFonts w:ascii="Arial" w:eastAsia="SimSun" w:hAnsi="Arial"/>
          <w:i/>
          <w:iCs/>
          <w:sz w:val="22"/>
          <w:szCs w:val="24"/>
          <w:lang w:val="de-DE" w:eastAsia="zh-CN"/>
        </w:rPr>
        <w:t>Gesellschaftliches Engagement</w:t>
      </w:r>
    </w:p>
    <w:p w14:paraId="5D619B2D" w14:textId="44D6AC33" w:rsidR="00CF7300" w:rsidRPr="00226AFF" w:rsidRDefault="00CF7300" w:rsidP="002B2F88">
      <w:pPr>
        <w:pStyle w:val="HTMLVorformatiert"/>
        <w:spacing w:line="360" w:lineRule="auto"/>
        <w:ind w:right="271"/>
        <w:rPr>
          <w:rFonts w:ascii="Arial" w:eastAsia="SimSun" w:hAnsi="Arial"/>
          <w:iCs/>
          <w:sz w:val="22"/>
          <w:szCs w:val="24"/>
          <w:lang w:val="de-DE" w:eastAsia="zh-CN"/>
        </w:rPr>
      </w:pPr>
      <w:r w:rsidRPr="00226AFF">
        <w:rPr>
          <w:rFonts w:ascii="Arial" w:eastAsia="SimSun" w:hAnsi="Arial"/>
          <w:iCs/>
          <w:sz w:val="22"/>
          <w:szCs w:val="24"/>
          <w:lang w:val="de-DE" w:eastAsia="zh-CN"/>
        </w:rPr>
        <w:t xml:space="preserve">Die </w:t>
      </w:r>
      <w:proofErr w:type="spellStart"/>
      <w:r w:rsidRPr="00226AFF">
        <w:rPr>
          <w:rFonts w:ascii="Arial" w:eastAsia="SimSun" w:hAnsi="Arial"/>
          <w:iCs/>
          <w:sz w:val="22"/>
          <w:szCs w:val="24"/>
          <w:lang w:val="de-DE" w:eastAsia="zh-CN"/>
        </w:rPr>
        <w:t>Sparda-Bank</w:t>
      </w:r>
      <w:proofErr w:type="spellEnd"/>
      <w:r w:rsidRPr="00226AFF">
        <w:rPr>
          <w:rFonts w:ascii="Arial" w:eastAsia="SimSun" w:hAnsi="Arial"/>
          <w:iCs/>
          <w:sz w:val="22"/>
          <w:szCs w:val="24"/>
          <w:lang w:val="de-DE" w:eastAsia="zh-CN"/>
        </w:rPr>
        <w:t xml:space="preserve"> Nürnberg steht auch während der Corona-Pandemie zu ihrem sozialen und kulturellen Engagement. So wurden im Jahr 2020 nicht nur die bankeigenen Aktionen wie der Förderwettbewerb „</w:t>
      </w:r>
      <w:proofErr w:type="spellStart"/>
      <w:r w:rsidRPr="00226AFF">
        <w:rPr>
          <w:rFonts w:ascii="Arial" w:eastAsia="SimSun" w:hAnsi="Arial"/>
          <w:iCs/>
          <w:sz w:val="22"/>
          <w:szCs w:val="24"/>
          <w:lang w:val="de-DE" w:eastAsia="zh-CN"/>
        </w:rPr>
        <w:t>Sparda</w:t>
      </w:r>
      <w:proofErr w:type="spellEnd"/>
      <w:r w:rsidRPr="00226AFF">
        <w:rPr>
          <w:rFonts w:ascii="Arial" w:eastAsia="SimSun" w:hAnsi="Arial"/>
          <w:iCs/>
          <w:sz w:val="22"/>
          <w:szCs w:val="24"/>
          <w:lang w:val="de-DE" w:eastAsia="zh-CN"/>
        </w:rPr>
        <w:t xml:space="preserve"> macht’s möglich“, </w:t>
      </w:r>
      <w:r w:rsidR="00D85572" w:rsidRPr="00226AFF">
        <w:rPr>
          <w:rFonts w:ascii="Arial" w:eastAsia="SimSun" w:hAnsi="Arial"/>
          <w:iCs/>
          <w:sz w:val="22"/>
          <w:szCs w:val="24"/>
          <w:lang w:val="de-DE" w:eastAsia="zh-CN"/>
        </w:rPr>
        <w:t xml:space="preserve">die Schultaschenaktion und die Adventskalenderaktion fortgesetzt, sondern auch </w:t>
      </w:r>
      <w:proofErr w:type="spellStart"/>
      <w:r w:rsidR="00D85572" w:rsidRPr="00226AFF">
        <w:rPr>
          <w:rFonts w:ascii="Arial" w:eastAsia="SimSun" w:hAnsi="Arial"/>
          <w:iCs/>
          <w:sz w:val="22"/>
          <w:szCs w:val="24"/>
          <w:lang w:val="de-DE" w:eastAsia="zh-CN"/>
        </w:rPr>
        <w:t>coronabedingt</w:t>
      </w:r>
      <w:proofErr w:type="spellEnd"/>
      <w:r w:rsidR="00D85572" w:rsidRPr="00226AFF">
        <w:rPr>
          <w:rFonts w:ascii="Arial" w:eastAsia="SimSun" w:hAnsi="Arial"/>
          <w:iCs/>
          <w:sz w:val="22"/>
          <w:szCs w:val="24"/>
          <w:lang w:val="de-DE" w:eastAsia="zh-CN"/>
        </w:rPr>
        <w:t xml:space="preserve"> neue oder alternative Formate wie die Seebühne am Nürnberger Dutzendteich oder das Kulturpicknick in Würzburg unterstützt. Der Fokus der gesellschaftlichen Förderung lag weiterhin auf den Bereichen Soziales, Kultur, Nachhaltigkeit und Bildung. Stefan Schindler bekräftigt: „Wir </w:t>
      </w:r>
      <w:r w:rsidR="00D85572" w:rsidRPr="00226AFF">
        <w:rPr>
          <w:rFonts w:ascii="Arial" w:eastAsia="SimSun" w:hAnsi="Arial"/>
          <w:iCs/>
          <w:sz w:val="22"/>
          <w:szCs w:val="24"/>
          <w:lang w:val="de-DE" w:eastAsia="zh-CN"/>
        </w:rPr>
        <w:lastRenderedPageBreak/>
        <w:t>bleiben auch in diesen schwierigen Zeiten an der Seite unserer langjährigen Partner und werden alle Engagements auch im Jahr 2021 fortführen. Wir sind davon überzeugt, dass Zusammenrücken und Zusammenhalten wichtiger sind denn je – trotz der erforderlichen sozialen Distanz.“</w:t>
      </w:r>
    </w:p>
    <w:p w14:paraId="4ED95EDB" w14:textId="77777777" w:rsidR="00D85572" w:rsidRPr="00226AFF" w:rsidRDefault="00D85572" w:rsidP="002B2F88">
      <w:pPr>
        <w:pStyle w:val="HTMLVorformatiert"/>
        <w:spacing w:line="360" w:lineRule="auto"/>
        <w:ind w:right="271"/>
        <w:rPr>
          <w:rFonts w:ascii="Arial" w:eastAsia="SimSun" w:hAnsi="Arial"/>
          <w:i/>
          <w:iCs/>
          <w:sz w:val="22"/>
          <w:szCs w:val="24"/>
          <w:lang w:val="de-DE" w:eastAsia="zh-CN"/>
        </w:rPr>
      </w:pPr>
    </w:p>
    <w:p w14:paraId="11D102AF" w14:textId="086E1C18" w:rsidR="002B2F88" w:rsidRPr="00226AFF" w:rsidRDefault="000032CD" w:rsidP="002B2F88">
      <w:pPr>
        <w:pStyle w:val="HTMLVorformatiert"/>
        <w:spacing w:line="360" w:lineRule="auto"/>
        <w:ind w:right="271"/>
        <w:rPr>
          <w:rFonts w:ascii="Arial" w:eastAsia="SimSun" w:hAnsi="Arial"/>
          <w:i/>
          <w:iCs/>
          <w:sz w:val="22"/>
          <w:szCs w:val="24"/>
          <w:lang w:val="de-DE" w:eastAsia="zh-CN"/>
        </w:rPr>
      </w:pPr>
      <w:r w:rsidRPr="00226AFF">
        <w:rPr>
          <w:rFonts w:ascii="Arial" w:eastAsia="SimSun" w:hAnsi="Arial"/>
          <w:i/>
          <w:iCs/>
          <w:sz w:val="22"/>
          <w:szCs w:val="24"/>
          <w:lang w:val="de-DE" w:eastAsia="zh-CN"/>
        </w:rPr>
        <w:t xml:space="preserve">Arbeitgeber mit </w:t>
      </w:r>
      <w:r w:rsidR="00D85572" w:rsidRPr="00226AFF">
        <w:rPr>
          <w:rFonts w:ascii="Arial" w:eastAsia="SimSun" w:hAnsi="Arial"/>
          <w:i/>
          <w:iCs/>
          <w:sz w:val="22"/>
          <w:szCs w:val="24"/>
          <w:lang w:val="de-DE" w:eastAsia="zh-CN"/>
        </w:rPr>
        <w:t>Verantwortung</w:t>
      </w:r>
    </w:p>
    <w:p w14:paraId="033885E9" w14:textId="613907DF" w:rsidR="00D85572" w:rsidRPr="00226AFF" w:rsidRDefault="007A280D" w:rsidP="002B2F88">
      <w:pPr>
        <w:pStyle w:val="HTMLVorformatiert"/>
        <w:spacing w:line="360" w:lineRule="auto"/>
        <w:ind w:right="271"/>
        <w:rPr>
          <w:rFonts w:ascii="Arial" w:eastAsia="SimSun" w:hAnsi="Arial"/>
          <w:sz w:val="22"/>
          <w:szCs w:val="24"/>
          <w:lang w:val="de-DE" w:eastAsia="zh-CN"/>
        </w:rPr>
      </w:pPr>
      <w:r w:rsidRPr="00226AFF">
        <w:rPr>
          <w:rFonts w:ascii="Arial" w:eastAsia="SimSun" w:hAnsi="Arial"/>
          <w:sz w:val="22"/>
          <w:szCs w:val="24"/>
          <w:lang w:val="de-DE" w:eastAsia="zh-CN"/>
        </w:rPr>
        <w:t xml:space="preserve">Zum 31.12.2020 beschäftigte die </w:t>
      </w:r>
      <w:proofErr w:type="spellStart"/>
      <w:r w:rsidRPr="00226AFF">
        <w:rPr>
          <w:rFonts w:ascii="Arial" w:eastAsia="SimSun" w:hAnsi="Arial"/>
          <w:sz w:val="22"/>
          <w:szCs w:val="24"/>
          <w:lang w:val="de-DE" w:eastAsia="zh-CN"/>
        </w:rPr>
        <w:t>Sparda-Bank</w:t>
      </w:r>
      <w:proofErr w:type="spellEnd"/>
      <w:r w:rsidRPr="00226AFF">
        <w:rPr>
          <w:rFonts w:ascii="Arial" w:eastAsia="SimSun" w:hAnsi="Arial"/>
          <w:sz w:val="22"/>
          <w:szCs w:val="24"/>
          <w:lang w:val="de-DE" w:eastAsia="zh-CN"/>
        </w:rPr>
        <w:t xml:space="preserve"> Nürnberg insgesamt</w:t>
      </w:r>
      <w:r w:rsidR="00D92573" w:rsidRPr="00226AFF">
        <w:rPr>
          <w:rFonts w:ascii="Arial" w:eastAsia="SimSun" w:hAnsi="Arial"/>
          <w:sz w:val="22"/>
          <w:szCs w:val="24"/>
          <w:lang w:val="de-DE" w:eastAsia="zh-CN"/>
        </w:rPr>
        <w:t xml:space="preserve"> 354</w:t>
      </w:r>
      <w:r w:rsidRPr="00226AFF">
        <w:rPr>
          <w:rFonts w:ascii="Arial" w:eastAsia="SimSun" w:hAnsi="Arial"/>
          <w:sz w:val="22"/>
          <w:szCs w:val="24"/>
          <w:lang w:val="de-DE" w:eastAsia="zh-CN"/>
        </w:rPr>
        <w:t xml:space="preserve"> Mitarbeiterinnen und Mitarbeiter, darunter </w:t>
      </w:r>
      <w:r w:rsidR="00D92573" w:rsidRPr="00226AFF">
        <w:rPr>
          <w:rFonts w:ascii="Arial" w:eastAsia="SimSun" w:hAnsi="Arial"/>
          <w:sz w:val="22"/>
          <w:szCs w:val="24"/>
          <w:lang w:val="de-DE" w:eastAsia="zh-CN"/>
        </w:rPr>
        <w:t>4</w:t>
      </w:r>
      <w:r w:rsidR="00FE5E96" w:rsidRPr="00226AFF">
        <w:rPr>
          <w:rFonts w:ascii="Arial" w:eastAsia="SimSun" w:hAnsi="Arial"/>
          <w:sz w:val="22"/>
          <w:szCs w:val="24"/>
          <w:lang w:val="de-DE" w:eastAsia="zh-CN"/>
        </w:rPr>
        <w:t>2</w:t>
      </w:r>
      <w:r w:rsidRPr="00226AFF">
        <w:rPr>
          <w:rFonts w:ascii="Arial" w:eastAsia="SimSun" w:hAnsi="Arial"/>
          <w:sz w:val="22"/>
          <w:szCs w:val="24"/>
          <w:lang w:val="de-DE" w:eastAsia="zh-CN"/>
        </w:rPr>
        <w:t xml:space="preserve"> Auszubildende und </w:t>
      </w:r>
      <w:r w:rsidR="00FE5E96" w:rsidRPr="00226AFF">
        <w:rPr>
          <w:rFonts w:ascii="Arial" w:eastAsia="SimSun" w:hAnsi="Arial"/>
          <w:sz w:val="22"/>
          <w:szCs w:val="24"/>
          <w:lang w:val="de-DE" w:eastAsia="zh-CN"/>
        </w:rPr>
        <w:t>vier</w:t>
      </w:r>
      <w:r w:rsidRPr="00226AFF">
        <w:rPr>
          <w:rFonts w:ascii="Arial" w:eastAsia="SimSun" w:hAnsi="Arial"/>
          <w:sz w:val="22"/>
          <w:szCs w:val="24"/>
          <w:lang w:val="de-DE" w:eastAsia="zh-CN"/>
        </w:rPr>
        <w:t xml:space="preserve"> duale Student</w:t>
      </w:r>
      <w:r w:rsidR="00FE5E96" w:rsidRPr="00226AFF">
        <w:rPr>
          <w:rFonts w:ascii="Arial" w:eastAsia="SimSun" w:hAnsi="Arial"/>
          <w:sz w:val="22"/>
          <w:szCs w:val="24"/>
          <w:lang w:val="de-DE" w:eastAsia="zh-CN"/>
        </w:rPr>
        <w:t>e</w:t>
      </w:r>
      <w:r w:rsidR="00DB2CF5" w:rsidRPr="00226AFF">
        <w:rPr>
          <w:rFonts w:ascii="Arial" w:eastAsia="SimSun" w:hAnsi="Arial"/>
          <w:sz w:val="22"/>
          <w:szCs w:val="24"/>
          <w:lang w:val="de-DE" w:eastAsia="zh-CN"/>
        </w:rPr>
        <w:t>n</w:t>
      </w:r>
      <w:r w:rsidRPr="00226AFF">
        <w:rPr>
          <w:rFonts w:ascii="Arial" w:eastAsia="SimSun" w:hAnsi="Arial"/>
          <w:sz w:val="22"/>
          <w:szCs w:val="24"/>
          <w:lang w:val="de-DE" w:eastAsia="zh-CN"/>
        </w:rPr>
        <w:t>. „</w:t>
      </w:r>
      <w:bookmarkStart w:id="0" w:name="_Hlk61955431"/>
      <w:r w:rsidRPr="00226AFF">
        <w:rPr>
          <w:rFonts w:ascii="Arial" w:eastAsia="SimSun" w:hAnsi="Arial"/>
          <w:sz w:val="22"/>
          <w:szCs w:val="24"/>
          <w:lang w:val="de-DE" w:eastAsia="zh-CN"/>
        </w:rPr>
        <w:t>Wir nehmen unsere Rolle als sozialer und verantwortungsvoller Arbeitgeber sehr ernst und leben auch hier unsere genossenschaftlichen Werte</w:t>
      </w:r>
      <w:bookmarkEnd w:id="0"/>
      <w:r w:rsidRPr="00226AFF">
        <w:rPr>
          <w:rFonts w:ascii="Arial" w:eastAsia="SimSun" w:hAnsi="Arial"/>
          <w:sz w:val="22"/>
          <w:szCs w:val="24"/>
          <w:lang w:val="de-DE" w:eastAsia="zh-CN"/>
        </w:rPr>
        <w:t>“</w:t>
      </w:r>
      <w:r w:rsidR="00D92573" w:rsidRPr="00226AFF">
        <w:rPr>
          <w:rFonts w:ascii="Arial" w:eastAsia="SimSun" w:hAnsi="Arial"/>
          <w:sz w:val="22"/>
          <w:szCs w:val="24"/>
          <w:lang w:val="de-DE" w:eastAsia="zh-CN"/>
        </w:rPr>
        <w:t>, so Stefan Schindler.</w:t>
      </w:r>
      <w:r w:rsidRPr="00226AFF">
        <w:rPr>
          <w:rFonts w:ascii="Arial" w:eastAsia="SimSun" w:hAnsi="Arial"/>
          <w:iCs/>
          <w:sz w:val="22"/>
          <w:szCs w:val="24"/>
          <w:lang w:val="de-DE" w:eastAsia="zh-CN"/>
        </w:rPr>
        <w:t xml:space="preserve"> Im September 2021 möchte die </w:t>
      </w:r>
      <w:proofErr w:type="spellStart"/>
      <w:r w:rsidRPr="00226AFF">
        <w:rPr>
          <w:rFonts w:ascii="Arial" w:eastAsia="SimSun" w:hAnsi="Arial"/>
          <w:iCs/>
          <w:sz w:val="22"/>
          <w:szCs w:val="24"/>
          <w:lang w:val="de-DE" w:eastAsia="zh-CN"/>
        </w:rPr>
        <w:t>Sparda-Bank</w:t>
      </w:r>
      <w:proofErr w:type="spellEnd"/>
      <w:r w:rsidRPr="00226AFF">
        <w:rPr>
          <w:rFonts w:ascii="Arial" w:eastAsia="SimSun" w:hAnsi="Arial"/>
          <w:iCs/>
          <w:sz w:val="22"/>
          <w:szCs w:val="24"/>
          <w:lang w:val="de-DE" w:eastAsia="zh-CN"/>
        </w:rPr>
        <w:t xml:space="preserve"> erneut </w:t>
      </w:r>
      <w:r w:rsidR="00D92573" w:rsidRPr="00226AFF">
        <w:rPr>
          <w:rFonts w:ascii="Arial" w:eastAsia="SimSun" w:hAnsi="Arial"/>
          <w:iCs/>
          <w:sz w:val="22"/>
          <w:szCs w:val="24"/>
          <w:lang w:val="de-DE" w:eastAsia="zh-CN"/>
        </w:rPr>
        <w:t>19</w:t>
      </w:r>
      <w:r w:rsidRPr="00226AFF">
        <w:rPr>
          <w:rFonts w:ascii="Arial" w:eastAsia="SimSun" w:hAnsi="Arial"/>
          <w:iCs/>
          <w:sz w:val="22"/>
          <w:szCs w:val="24"/>
          <w:lang w:val="de-DE" w:eastAsia="zh-CN"/>
        </w:rPr>
        <w:t xml:space="preserve"> </w:t>
      </w:r>
      <w:r w:rsidR="0066650F" w:rsidRPr="00226AFF">
        <w:rPr>
          <w:rFonts w:ascii="Arial" w:eastAsia="SimSun" w:hAnsi="Arial"/>
          <w:iCs/>
          <w:sz w:val="22"/>
          <w:szCs w:val="24"/>
          <w:lang w:val="de-DE" w:eastAsia="zh-CN"/>
        </w:rPr>
        <w:t>jungen Menschen im Rahmen einer Ausbildung eine berufliche Perspektive bieten.</w:t>
      </w:r>
    </w:p>
    <w:p w14:paraId="2976ACD5" w14:textId="48D1427E" w:rsidR="00BC699C" w:rsidRPr="00226AFF" w:rsidRDefault="00BC699C" w:rsidP="00BC699C">
      <w:pPr>
        <w:pStyle w:val="HTMLVorformatiert"/>
        <w:spacing w:line="360" w:lineRule="auto"/>
        <w:ind w:right="271"/>
        <w:rPr>
          <w:rFonts w:ascii="Arial" w:eastAsia="SimSun" w:hAnsi="Arial"/>
          <w:iCs/>
          <w:sz w:val="22"/>
          <w:szCs w:val="24"/>
          <w:lang w:val="de-DE" w:eastAsia="zh-CN"/>
        </w:rPr>
      </w:pPr>
    </w:p>
    <w:p w14:paraId="1EF0B0D2" w14:textId="255165AC" w:rsidR="00BC699C" w:rsidRPr="00226AFF" w:rsidRDefault="00BC699C" w:rsidP="00BC699C">
      <w:pPr>
        <w:pStyle w:val="HTMLVorformatiert"/>
        <w:spacing w:line="360" w:lineRule="auto"/>
        <w:ind w:right="271"/>
        <w:rPr>
          <w:rFonts w:ascii="Arial" w:eastAsia="SimSun" w:hAnsi="Arial"/>
          <w:i/>
          <w:sz w:val="22"/>
          <w:szCs w:val="24"/>
          <w:lang w:val="de-DE" w:eastAsia="zh-CN"/>
        </w:rPr>
      </w:pPr>
      <w:r w:rsidRPr="00226AFF">
        <w:rPr>
          <w:rFonts w:ascii="Arial" w:eastAsia="SimSun" w:hAnsi="Arial"/>
          <w:i/>
          <w:sz w:val="22"/>
          <w:szCs w:val="24"/>
          <w:lang w:val="de-DE" w:eastAsia="zh-CN"/>
        </w:rPr>
        <w:t>Ausblick</w:t>
      </w:r>
    </w:p>
    <w:p w14:paraId="7C51CC4B" w14:textId="40085498" w:rsidR="00BC699C" w:rsidRDefault="0066650F" w:rsidP="00BC699C">
      <w:pPr>
        <w:pStyle w:val="HTMLVorformatiert"/>
        <w:spacing w:line="360" w:lineRule="auto"/>
        <w:ind w:right="271"/>
        <w:rPr>
          <w:rFonts w:ascii="Arial" w:eastAsia="SimSun" w:hAnsi="Arial"/>
          <w:iCs/>
          <w:sz w:val="22"/>
          <w:szCs w:val="24"/>
          <w:lang w:val="de-DE" w:eastAsia="zh-CN"/>
        </w:rPr>
      </w:pPr>
      <w:r w:rsidRPr="00226AFF">
        <w:rPr>
          <w:rFonts w:ascii="Arial" w:eastAsia="SimSun" w:hAnsi="Arial"/>
          <w:iCs/>
          <w:sz w:val="22"/>
          <w:szCs w:val="24"/>
          <w:lang w:val="de-DE" w:eastAsia="zh-CN"/>
        </w:rPr>
        <w:t xml:space="preserve">Angesichts der anhaltenden Corona-Pandemie erwartet </w:t>
      </w:r>
      <w:r w:rsidR="00D92573" w:rsidRPr="00226AFF">
        <w:rPr>
          <w:rFonts w:ascii="Arial" w:eastAsia="SimSun" w:hAnsi="Arial"/>
          <w:iCs/>
          <w:sz w:val="22"/>
          <w:szCs w:val="24"/>
          <w:lang w:val="de-DE" w:eastAsia="zh-CN"/>
        </w:rPr>
        <w:t xml:space="preserve">der </w:t>
      </w:r>
      <w:proofErr w:type="spellStart"/>
      <w:r w:rsidR="00D92573" w:rsidRPr="00226AFF">
        <w:rPr>
          <w:rFonts w:ascii="Arial" w:eastAsia="SimSun" w:hAnsi="Arial"/>
          <w:iCs/>
          <w:sz w:val="22"/>
          <w:szCs w:val="24"/>
          <w:lang w:val="de-DE" w:eastAsia="zh-CN"/>
        </w:rPr>
        <w:t>Sparda-Bank</w:t>
      </w:r>
      <w:proofErr w:type="spellEnd"/>
      <w:r w:rsidR="00D92573" w:rsidRPr="00226AFF">
        <w:rPr>
          <w:rFonts w:ascii="Arial" w:eastAsia="SimSun" w:hAnsi="Arial"/>
          <w:iCs/>
          <w:sz w:val="22"/>
          <w:szCs w:val="24"/>
          <w:lang w:val="de-DE" w:eastAsia="zh-CN"/>
        </w:rPr>
        <w:t>-Vorstand auch für 2021 herausfordernde Rahmenbedingungen: „</w:t>
      </w:r>
      <w:bookmarkStart w:id="1" w:name="_Hlk61955454"/>
      <w:r w:rsidR="00D92573" w:rsidRPr="00226AFF">
        <w:rPr>
          <w:rFonts w:ascii="Arial" w:eastAsia="SimSun" w:hAnsi="Arial"/>
          <w:iCs/>
          <w:sz w:val="22"/>
          <w:szCs w:val="24"/>
          <w:lang w:val="de-DE" w:eastAsia="zh-CN"/>
        </w:rPr>
        <w:t xml:space="preserve">Die Innenstädte werden weiter </w:t>
      </w:r>
      <w:r w:rsidR="00FC2CC0" w:rsidRPr="00226AFF">
        <w:rPr>
          <w:rFonts w:ascii="Arial" w:eastAsia="SimSun" w:hAnsi="Arial"/>
          <w:iCs/>
          <w:sz w:val="22"/>
          <w:szCs w:val="24"/>
          <w:lang w:val="de-DE" w:eastAsia="zh-CN"/>
        </w:rPr>
        <w:t xml:space="preserve">unter dem ausbleibenden </w:t>
      </w:r>
      <w:proofErr w:type="spellStart"/>
      <w:r w:rsidR="00FC2CC0" w:rsidRPr="00226AFF">
        <w:rPr>
          <w:rFonts w:ascii="Arial" w:eastAsia="SimSun" w:hAnsi="Arial"/>
          <w:iCs/>
          <w:sz w:val="22"/>
          <w:szCs w:val="24"/>
          <w:lang w:val="de-DE" w:eastAsia="zh-CN"/>
        </w:rPr>
        <w:t>Passantenverkehr</w:t>
      </w:r>
      <w:proofErr w:type="spellEnd"/>
      <w:r w:rsidR="00FC2CC0" w:rsidRPr="00226AFF">
        <w:rPr>
          <w:rFonts w:ascii="Arial" w:eastAsia="SimSun" w:hAnsi="Arial"/>
          <w:iCs/>
          <w:sz w:val="22"/>
          <w:szCs w:val="24"/>
          <w:lang w:val="de-DE" w:eastAsia="zh-CN"/>
        </w:rPr>
        <w:t xml:space="preserve"> leiden</w:t>
      </w:r>
      <w:r w:rsidR="008F2D5D" w:rsidRPr="00226AFF">
        <w:rPr>
          <w:rFonts w:ascii="Arial" w:eastAsia="SimSun" w:hAnsi="Arial"/>
          <w:iCs/>
          <w:sz w:val="22"/>
          <w:szCs w:val="24"/>
          <w:lang w:val="de-DE" w:eastAsia="zh-CN"/>
        </w:rPr>
        <w:t xml:space="preserve"> – das spüren wir als Filialbank in zentraler Lage natürlich </w:t>
      </w:r>
      <w:r w:rsidR="00FC2CC0" w:rsidRPr="00226AFF">
        <w:rPr>
          <w:rFonts w:ascii="Arial" w:eastAsia="SimSun" w:hAnsi="Arial"/>
          <w:iCs/>
          <w:sz w:val="22"/>
          <w:szCs w:val="24"/>
          <w:lang w:val="de-DE" w:eastAsia="zh-CN"/>
        </w:rPr>
        <w:t xml:space="preserve">auch </w:t>
      </w:r>
      <w:r w:rsidR="008F2D5D" w:rsidRPr="00226AFF">
        <w:rPr>
          <w:rFonts w:ascii="Arial" w:eastAsia="SimSun" w:hAnsi="Arial"/>
          <w:iCs/>
          <w:sz w:val="22"/>
          <w:szCs w:val="24"/>
          <w:lang w:val="de-DE" w:eastAsia="zh-CN"/>
        </w:rPr>
        <w:t>massiv</w:t>
      </w:r>
      <w:bookmarkEnd w:id="1"/>
      <w:r w:rsidR="008F2D5D" w:rsidRPr="00226AFF">
        <w:rPr>
          <w:rFonts w:ascii="Arial" w:eastAsia="SimSun" w:hAnsi="Arial"/>
          <w:iCs/>
          <w:sz w:val="22"/>
          <w:szCs w:val="24"/>
          <w:lang w:val="de-DE" w:eastAsia="zh-CN"/>
        </w:rPr>
        <w:t>.“ Auf der anderen Seite werde durch die aktuelle Unsicherheit der Wunsch nach den eigenen vier Wänden noch weiter steigen und damit auch die Nachfrage nach Baufinanzierungen. Neue Dynamik</w:t>
      </w:r>
      <w:r w:rsidR="00FC2CC0" w:rsidRPr="00226AFF">
        <w:rPr>
          <w:rFonts w:ascii="Arial" w:eastAsia="SimSun" w:hAnsi="Arial"/>
          <w:iCs/>
          <w:sz w:val="22"/>
          <w:szCs w:val="24"/>
          <w:lang w:val="de-DE" w:eastAsia="zh-CN"/>
        </w:rPr>
        <w:t xml:space="preserve"> und neue Marktchancen</w:t>
      </w:r>
      <w:r w:rsidR="008F2D5D" w:rsidRPr="00226AFF">
        <w:rPr>
          <w:rFonts w:ascii="Arial" w:eastAsia="SimSun" w:hAnsi="Arial"/>
          <w:iCs/>
          <w:sz w:val="22"/>
          <w:szCs w:val="24"/>
          <w:lang w:val="de-DE" w:eastAsia="zh-CN"/>
        </w:rPr>
        <w:t xml:space="preserve"> verspricht </w:t>
      </w:r>
      <w:r w:rsidR="00FC2CC0" w:rsidRPr="00226AFF">
        <w:rPr>
          <w:rFonts w:ascii="Arial" w:eastAsia="SimSun" w:hAnsi="Arial"/>
          <w:iCs/>
          <w:sz w:val="22"/>
          <w:szCs w:val="24"/>
          <w:lang w:val="de-DE" w:eastAsia="zh-CN"/>
        </w:rPr>
        <w:t>der geplante</w:t>
      </w:r>
      <w:r w:rsidR="008F2D5D" w:rsidRPr="00226AFF">
        <w:rPr>
          <w:rFonts w:ascii="Arial" w:eastAsia="SimSun" w:hAnsi="Arial"/>
          <w:iCs/>
          <w:sz w:val="22"/>
          <w:szCs w:val="24"/>
          <w:lang w:val="de-DE" w:eastAsia="zh-CN"/>
        </w:rPr>
        <w:t xml:space="preserve"> Einstieg in den Mietwohnungsbau mit de</w:t>
      </w:r>
      <w:r w:rsidR="00FC2CC0" w:rsidRPr="00226AFF">
        <w:rPr>
          <w:rFonts w:ascii="Arial" w:eastAsia="SimSun" w:hAnsi="Arial"/>
          <w:iCs/>
          <w:sz w:val="22"/>
          <w:szCs w:val="24"/>
          <w:lang w:val="de-DE" w:eastAsia="zh-CN"/>
        </w:rPr>
        <w:t>m Tochterunternehmen</w:t>
      </w:r>
      <w:r w:rsidR="008F2D5D" w:rsidRPr="00226AFF">
        <w:rPr>
          <w:rFonts w:ascii="Arial" w:eastAsia="SimSun" w:hAnsi="Arial"/>
          <w:iCs/>
          <w:sz w:val="22"/>
          <w:szCs w:val="24"/>
          <w:lang w:val="de-DE" w:eastAsia="zh-CN"/>
        </w:rPr>
        <w:t xml:space="preserve"> </w:t>
      </w:r>
      <w:proofErr w:type="spellStart"/>
      <w:r w:rsidR="008F2D5D" w:rsidRPr="00226AFF">
        <w:rPr>
          <w:rFonts w:ascii="Arial" w:eastAsia="SimSun" w:hAnsi="Arial"/>
          <w:iCs/>
          <w:sz w:val="22"/>
          <w:szCs w:val="24"/>
          <w:lang w:val="de-DE" w:eastAsia="zh-CN"/>
        </w:rPr>
        <w:t>SpardaImmobilienWelt</w:t>
      </w:r>
      <w:proofErr w:type="spellEnd"/>
      <w:r w:rsidR="00FC2CC0" w:rsidRPr="00226AFF">
        <w:rPr>
          <w:rFonts w:ascii="Arial" w:eastAsia="SimSun" w:hAnsi="Arial"/>
          <w:iCs/>
          <w:sz w:val="22"/>
          <w:szCs w:val="24"/>
          <w:lang w:val="de-DE" w:eastAsia="zh-CN"/>
        </w:rPr>
        <w:t>:</w:t>
      </w:r>
      <w:r w:rsidR="008F2D5D" w:rsidRPr="00226AFF">
        <w:rPr>
          <w:rFonts w:ascii="Arial" w:eastAsia="SimSun" w:hAnsi="Arial"/>
          <w:iCs/>
          <w:sz w:val="22"/>
          <w:szCs w:val="24"/>
          <w:lang w:val="de-DE" w:eastAsia="zh-CN"/>
        </w:rPr>
        <w:t xml:space="preserve"> 2021 </w:t>
      </w:r>
      <w:r w:rsidR="009B334F" w:rsidRPr="00226AFF">
        <w:rPr>
          <w:rFonts w:ascii="Arial" w:eastAsia="SimSun" w:hAnsi="Arial"/>
          <w:iCs/>
          <w:sz w:val="22"/>
          <w:szCs w:val="24"/>
          <w:lang w:val="de-DE" w:eastAsia="zh-CN"/>
        </w:rPr>
        <w:t>wird</w:t>
      </w:r>
      <w:r w:rsidR="008F2D5D" w:rsidRPr="00226AFF">
        <w:rPr>
          <w:rFonts w:ascii="Arial" w:eastAsia="SimSun" w:hAnsi="Arial"/>
          <w:iCs/>
          <w:sz w:val="22"/>
          <w:szCs w:val="24"/>
          <w:lang w:val="de-DE" w:eastAsia="zh-CN"/>
        </w:rPr>
        <w:t xml:space="preserve"> die </w:t>
      </w:r>
      <w:proofErr w:type="spellStart"/>
      <w:r w:rsidR="008F2D5D" w:rsidRPr="00226AFF">
        <w:rPr>
          <w:rFonts w:ascii="Arial" w:eastAsia="SimSun" w:hAnsi="Arial"/>
          <w:iCs/>
          <w:sz w:val="22"/>
          <w:szCs w:val="24"/>
          <w:lang w:val="de-DE" w:eastAsia="zh-CN"/>
        </w:rPr>
        <w:t>Sparda-Bank</w:t>
      </w:r>
      <w:proofErr w:type="spellEnd"/>
      <w:r w:rsidR="008F2D5D" w:rsidRPr="00226AFF">
        <w:rPr>
          <w:rFonts w:ascii="Arial" w:eastAsia="SimSun" w:hAnsi="Arial"/>
          <w:iCs/>
          <w:sz w:val="22"/>
          <w:szCs w:val="24"/>
          <w:lang w:val="de-DE" w:eastAsia="zh-CN"/>
        </w:rPr>
        <w:t xml:space="preserve"> drei Bauvorhaben mit insgesamt 65 Mietwohnungen in Nordbayern </w:t>
      </w:r>
      <w:r w:rsidR="009B334F" w:rsidRPr="00226AFF">
        <w:rPr>
          <w:rFonts w:ascii="Arial" w:eastAsia="SimSun" w:hAnsi="Arial"/>
          <w:iCs/>
          <w:sz w:val="22"/>
          <w:szCs w:val="24"/>
          <w:lang w:val="de-DE" w:eastAsia="zh-CN"/>
        </w:rPr>
        <w:t>realisieren. Für die Genossenschaftsbank auch ein gesellschaftlicher Auftrag</w:t>
      </w:r>
      <w:r w:rsidR="00FC2CC0" w:rsidRPr="00226AFF">
        <w:rPr>
          <w:rFonts w:ascii="Arial" w:eastAsia="SimSun" w:hAnsi="Arial"/>
          <w:iCs/>
          <w:sz w:val="22"/>
          <w:szCs w:val="24"/>
          <w:lang w:val="de-DE" w:eastAsia="zh-CN"/>
        </w:rPr>
        <w:t>. Schindler:</w:t>
      </w:r>
      <w:r w:rsidR="009B334F" w:rsidRPr="00226AFF">
        <w:rPr>
          <w:rFonts w:ascii="Arial" w:eastAsia="SimSun" w:hAnsi="Arial"/>
          <w:iCs/>
          <w:sz w:val="22"/>
          <w:szCs w:val="24"/>
          <w:lang w:val="de-DE" w:eastAsia="zh-CN"/>
        </w:rPr>
        <w:t xml:space="preserve"> „</w:t>
      </w:r>
      <w:bookmarkStart w:id="2" w:name="_Hlk61955479"/>
      <w:r w:rsidR="009B334F" w:rsidRPr="00226AFF">
        <w:rPr>
          <w:rFonts w:ascii="Arial" w:eastAsia="SimSun" w:hAnsi="Arial"/>
          <w:iCs/>
          <w:sz w:val="22"/>
          <w:szCs w:val="24"/>
          <w:lang w:val="de-DE" w:eastAsia="zh-CN"/>
        </w:rPr>
        <w:t>Wir wollen unseren Beitrag dazu leisten, dass Wohnraum bezahlbar bleibt.“</w:t>
      </w:r>
      <w:bookmarkEnd w:id="2"/>
    </w:p>
    <w:p w14:paraId="01F6543E" w14:textId="6642A658" w:rsidR="002B2F88" w:rsidRPr="00BC699C" w:rsidRDefault="00BC699C" w:rsidP="002B2F88">
      <w:pPr>
        <w:spacing w:after="0" w:line="360" w:lineRule="auto"/>
        <w:rPr>
          <w:rFonts w:ascii="Arial" w:eastAsia="SimSun" w:hAnsi="Arial" w:cs="Times New Roman"/>
          <w:iCs/>
          <w:szCs w:val="24"/>
          <w:lang w:eastAsia="zh-CN"/>
        </w:rPr>
      </w:pPr>
      <w:r w:rsidRPr="00BC699C">
        <w:rPr>
          <w:rFonts w:ascii="Arial" w:eastAsia="SimSun" w:hAnsi="Arial" w:cs="Times New Roman"/>
          <w:iCs/>
          <w:szCs w:val="24"/>
          <w:lang w:eastAsia="zh-CN"/>
        </w:rPr>
        <w:t xml:space="preserve"> </w:t>
      </w:r>
    </w:p>
    <w:tbl>
      <w:tblPr>
        <w:tblW w:w="0" w:type="auto"/>
        <w:tblLayout w:type="fixed"/>
        <w:tblCellMar>
          <w:left w:w="0" w:type="dxa"/>
          <w:right w:w="0" w:type="dxa"/>
        </w:tblCellMar>
        <w:tblLook w:val="01E0" w:firstRow="1" w:lastRow="1" w:firstColumn="1" w:lastColumn="1" w:noHBand="0" w:noVBand="0"/>
      </w:tblPr>
      <w:tblGrid>
        <w:gridCol w:w="2700"/>
        <w:gridCol w:w="1800"/>
        <w:gridCol w:w="1800"/>
        <w:gridCol w:w="1358"/>
      </w:tblGrid>
      <w:tr w:rsidR="002B2F88" w:rsidRPr="001A2E45" w14:paraId="75B05EDA" w14:textId="77777777" w:rsidTr="001353F3">
        <w:trPr>
          <w:trHeight w:val="397"/>
        </w:trPr>
        <w:tc>
          <w:tcPr>
            <w:tcW w:w="7658" w:type="dxa"/>
            <w:gridSpan w:val="4"/>
            <w:shd w:val="clear" w:color="auto" w:fill="000080"/>
            <w:vAlign w:val="center"/>
          </w:tcPr>
          <w:p w14:paraId="281889B7" w14:textId="77777777" w:rsidR="002B2F88" w:rsidRPr="001A2E45" w:rsidRDefault="002B2F88" w:rsidP="002B2F88">
            <w:pPr>
              <w:framePr w:hSpace="141" w:wrap="around" w:vAnchor="text" w:hAnchor="page" w:x="1608" w:y="251"/>
              <w:tabs>
                <w:tab w:val="left" w:pos="7920"/>
                <w:tab w:val="left" w:pos="8280"/>
                <w:tab w:val="left" w:pos="8820"/>
              </w:tabs>
              <w:spacing w:after="0"/>
              <w:ind w:right="381"/>
              <w:rPr>
                <w:rFonts w:ascii="Arial" w:hAnsi="Arial"/>
                <w:b/>
                <w:color w:val="FFFFFF"/>
                <w:sz w:val="16"/>
              </w:rPr>
            </w:pPr>
          </w:p>
          <w:p w14:paraId="5067F1B1" w14:textId="77777777" w:rsidR="002B2F88" w:rsidRPr="001A2E45" w:rsidRDefault="002B2F88" w:rsidP="002B2F88">
            <w:pPr>
              <w:framePr w:hSpace="141" w:wrap="around" w:vAnchor="text" w:hAnchor="page" w:x="1608" w:y="251"/>
              <w:tabs>
                <w:tab w:val="left" w:pos="7920"/>
                <w:tab w:val="left" w:pos="8280"/>
                <w:tab w:val="left" w:pos="8820"/>
              </w:tabs>
              <w:spacing w:after="0"/>
              <w:ind w:right="381"/>
              <w:rPr>
                <w:rFonts w:ascii="Arial" w:hAnsi="Arial"/>
                <w:b/>
                <w:color w:val="FFFFFF"/>
              </w:rPr>
            </w:pPr>
            <w:r w:rsidRPr="001A2E45">
              <w:rPr>
                <w:rFonts w:ascii="Arial" w:hAnsi="Arial"/>
                <w:b/>
                <w:color w:val="FFFFFF"/>
              </w:rPr>
              <w:t xml:space="preserve"> Wichtige Kennzahlen im Jahresvergleich </w:t>
            </w:r>
          </w:p>
          <w:p w14:paraId="3EB006B1" w14:textId="77777777" w:rsidR="002B2F88" w:rsidRPr="001A2E45" w:rsidRDefault="002B2F88" w:rsidP="002B2F88">
            <w:pPr>
              <w:framePr w:hSpace="141" w:wrap="around" w:vAnchor="text" w:hAnchor="page" w:x="1608" w:y="251"/>
              <w:tabs>
                <w:tab w:val="left" w:pos="7920"/>
                <w:tab w:val="left" w:pos="8280"/>
                <w:tab w:val="left" w:pos="8820"/>
              </w:tabs>
              <w:spacing w:after="0"/>
              <w:ind w:right="381"/>
              <w:rPr>
                <w:rFonts w:ascii="Arial" w:hAnsi="Arial"/>
                <w:color w:val="FFFFFF"/>
                <w:sz w:val="18"/>
              </w:rPr>
            </w:pPr>
            <w:r w:rsidRPr="001A2E45">
              <w:rPr>
                <w:rFonts w:ascii="Arial" w:hAnsi="Arial"/>
                <w:color w:val="FFFFFF"/>
                <w:sz w:val="18"/>
              </w:rPr>
              <w:t xml:space="preserve"> </w:t>
            </w:r>
            <w:proofErr w:type="spellStart"/>
            <w:r w:rsidRPr="001A2E45">
              <w:rPr>
                <w:rFonts w:ascii="Arial" w:hAnsi="Arial"/>
                <w:color w:val="FFFFFF"/>
                <w:sz w:val="18"/>
              </w:rPr>
              <w:t>Sparda-Bank</w:t>
            </w:r>
            <w:proofErr w:type="spellEnd"/>
            <w:r w:rsidRPr="001A2E45">
              <w:rPr>
                <w:rFonts w:ascii="Arial" w:hAnsi="Arial"/>
                <w:color w:val="FFFFFF"/>
                <w:sz w:val="18"/>
              </w:rPr>
              <w:t xml:space="preserve"> Nürnberg gesamt</w:t>
            </w:r>
          </w:p>
          <w:p w14:paraId="01FD83A7" w14:textId="77777777" w:rsidR="002B2F88" w:rsidRPr="001A2E45" w:rsidRDefault="002B2F88" w:rsidP="002B2F88">
            <w:pPr>
              <w:framePr w:hSpace="141" w:wrap="around" w:vAnchor="text" w:hAnchor="page" w:x="1608" w:y="251"/>
              <w:tabs>
                <w:tab w:val="left" w:pos="7920"/>
                <w:tab w:val="left" w:pos="8280"/>
                <w:tab w:val="left" w:pos="8820"/>
              </w:tabs>
              <w:spacing w:after="0"/>
              <w:ind w:right="381"/>
              <w:rPr>
                <w:rFonts w:ascii="Arial" w:hAnsi="Arial"/>
                <w:b/>
                <w:sz w:val="16"/>
              </w:rPr>
            </w:pPr>
          </w:p>
        </w:tc>
      </w:tr>
      <w:tr w:rsidR="0046036C" w:rsidRPr="001A2E45" w14:paraId="0EF24DDB" w14:textId="77777777" w:rsidTr="001353F3">
        <w:trPr>
          <w:trHeight w:val="397"/>
        </w:trPr>
        <w:tc>
          <w:tcPr>
            <w:tcW w:w="2700" w:type="dxa"/>
            <w:vAlign w:val="center"/>
          </w:tcPr>
          <w:p w14:paraId="0A33D274" w14:textId="77777777" w:rsidR="0046036C" w:rsidRPr="001A2E45" w:rsidRDefault="0046036C" w:rsidP="0046036C">
            <w:pPr>
              <w:framePr w:hSpace="141" w:wrap="around" w:vAnchor="text" w:hAnchor="page" w:x="1608" w:y="251"/>
              <w:tabs>
                <w:tab w:val="left" w:pos="7920"/>
                <w:tab w:val="left" w:pos="8280"/>
                <w:tab w:val="left" w:pos="8820"/>
              </w:tabs>
              <w:spacing w:after="0" w:line="360" w:lineRule="auto"/>
              <w:ind w:right="381"/>
              <w:rPr>
                <w:rFonts w:ascii="Arial" w:hAnsi="Arial"/>
              </w:rPr>
            </w:pPr>
          </w:p>
        </w:tc>
        <w:tc>
          <w:tcPr>
            <w:tcW w:w="1800" w:type="dxa"/>
            <w:vAlign w:val="center"/>
          </w:tcPr>
          <w:p w14:paraId="011D5CEC" w14:textId="43B7E9FC" w:rsidR="0046036C" w:rsidRPr="001A2E45" w:rsidRDefault="0046036C" w:rsidP="0046036C">
            <w:pPr>
              <w:framePr w:hSpace="141" w:wrap="around" w:vAnchor="text" w:hAnchor="page" w:x="1608" w:y="251"/>
              <w:tabs>
                <w:tab w:val="left" w:pos="7920"/>
                <w:tab w:val="left" w:pos="8280"/>
                <w:tab w:val="left" w:pos="8820"/>
              </w:tabs>
              <w:spacing w:after="0"/>
              <w:ind w:right="381"/>
              <w:jc w:val="center"/>
              <w:rPr>
                <w:rFonts w:ascii="Arial" w:hAnsi="Arial"/>
                <w:b/>
                <w:color w:val="E36C0A"/>
              </w:rPr>
            </w:pPr>
            <w:r w:rsidRPr="001A2E45">
              <w:rPr>
                <w:rFonts w:ascii="Arial" w:hAnsi="Arial"/>
                <w:b/>
                <w:color w:val="E36C0A"/>
              </w:rPr>
              <w:t>201</w:t>
            </w:r>
            <w:r w:rsidR="002A6B70">
              <w:rPr>
                <w:rFonts w:ascii="Arial" w:hAnsi="Arial"/>
                <w:b/>
                <w:color w:val="E36C0A"/>
              </w:rPr>
              <w:t>9</w:t>
            </w:r>
          </w:p>
        </w:tc>
        <w:tc>
          <w:tcPr>
            <w:tcW w:w="1800" w:type="dxa"/>
            <w:vAlign w:val="center"/>
          </w:tcPr>
          <w:p w14:paraId="5E8286B9" w14:textId="76028964" w:rsidR="0046036C" w:rsidRPr="001A2E45" w:rsidRDefault="0046036C" w:rsidP="0046036C">
            <w:pPr>
              <w:framePr w:hSpace="141" w:wrap="around" w:vAnchor="text" w:hAnchor="page" w:x="1608" w:y="251"/>
              <w:tabs>
                <w:tab w:val="left" w:pos="7920"/>
                <w:tab w:val="left" w:pos="8280"/>
                <w:tab w:val="left" w:pos="8820"/>
              </w:tabs>
              <w:spacing w:after="0"/>
              <w:ind w:right="381"/>
              <w:jc w:val="center"/>
              <w:rPr>
                <w:rFonts w:ascii="Arial" w:hAnsi="Arial"/>
                <w:b/>
                <w:color w:val="E36C0A"/>
              </w:rPr>
            </w:pPr>
            <w:r w:rsidRPr="001A2E45">
              <w:rPr>
                <w:rFonts w:ascii="Arial" w:hAnsi="Arial"/>
                <w:b/>
                <w:color w:val="E36C0A"/>
              </w:rPr>
              <w:t>20</w:t>
            </w:r>
            <w:r w:rsidR="002A6B70">
              <w:rPr>
                <w:rFonts w:ascii="Arial" w:hAnsi="Arial"/>
                <w:b/>
                <w:color w:val="E36C0A"/>
              </w:rPr>
              <w:t>20</w:t>
            </w:r>
          </w:p>
        </w:tc>
        <w:tc>
          <w:tcPr>
            <w:tcW w:w="1358" w:type="dxa"/>
            <w:vAlign w:val="center"/>
          </w:tcPr>
          <w:p w14:paraId="507761DD" w14:textId="77777777" w:rsidR="0046036C" w:rsidRPr="001A2E45" w:rsidRDefault="0046036C" w:rsidP="0046036C">
            <w:pPr>
              <w:framePr w:hSpace="141" w:wrap="around" w:vAnchor="text" w:hAnchor="page" w:x="1608" w:y="251"/>
              <w:tabs>
                <w:tab w:val="left" w:pos="2052"/>
                <w:tab w:val="left" w:pos="7920"/>
                <w:tab w:val="left" w:pos="8280"/>
                <w:tab w:val="left" w:pos="8820"/>
              </w:tabs>
              <w:spacing w:after="0"/>
              <w:ind w:right="-112"/>
              <w:jc w:val="center"/>
              <w:rPr>
                <w:rFonts w:ascii="Arial" w:hAnsi="Arial"/>
                <w:b/>
                <w:color w:val="E36C0A"/>
                <w:sz w:val="20"/>
              </w:rPr>
            </w:pPr>
            <w:r w:rsidRPr="001A2E45">
              <w:rPr>
                <w:rFonts w:ascii="Arial" w:hAnsi="Arial"/>
                <w:b/>
                <w:color w:val="E36C0A"/>
                <w:sz w:val="20"/>
              </w:rPr>
              <w:t xml:space="preserve">Veränderung </w:t>
            </w:r>
            <w:r w:rsidRPr="001A2E45">
              <w:rPr>
                <w:rFonts w:ascii="Arial" w:hAnsi="Arial"/>
                <w:b/>
                <w:color w:val="E36C0A"/>
                <w:sz w:val="20"/>
              </w:rPr>
              <w:br/>
              <w:t>in Prozent</w:t>
            </w:r>
          </w:p>
        </w:tc>
      </w:tr>
      <w:tr w:rsidR="002A6B70" w:rsidRPr="001A2E45" w14:paraId="23E4AEF8" w14:textId="77777777" w:rsidTr="001353F3">
        <w:trPr>
          <w:trHeight w:val="284"/>
        </w:trPr>
        <w:tc>
          <w:tcPr>
            <w:tcW w:w="2700" w:type="dxa"/>
            <w:shd w:val="clear" w:color="auto" w:fill="C0C0C0"/>
            <w:vAlign w:val="center"/>
          </w:tcPr>
          <w:p w14:paraId="00A173A0" w14:textId="77777777" w:rsidR="002A6B70" w:rsidRPr="001A2E45" w:rsidRDefault="002A6B70" w:rsidP="002A6B70">
            <w:pPr>
              <w:framePr w:hSpace="141" w:wrap="around" w:vAnchor="text" w:hAnchor="page" w:x="1608" w:y="251"/>
              <w:tabs>
                <w:tab w:val="left" w:pos="7920"/>
                <w:tab w:val="left" w:pos="8280"/>
                <w:tab w:val="left" w:pos="8820"/>
              </w:tabs>
              <w:spacing w:after="0"/>
              <w:ind w:right="381"/>
              <w:rPr>
                <w:rFonts w:ascii="Arial" w:hAnsi="Arial"/>
                <w:sz w:val="20"/>
                <w:szCs w:val="20"/>
              </w:rPr>
            </w:pPr>
            <w:r w:rsidRPr="001A2E45">
              <w:rPr>
                <w:rFonts w:ascii="Arial" w:hAnsi="Arial"/>
                <w:sz w:val="20"/>
                <w:szCs w:val="20"/>
              </w:rPr>
              <w:t xml:space="preserve">Bilanzsumme </w:t>
            </w:r>
          </w:p>
        </w:tc>
        <w:tc>
          <w:tcPr>
            <w:tcW w:w="1800" w:type="dxa"/>
            <w:shd w:val="clear" w:color="auto" w:fill="C0C0C0"/>
            <w:vAlign w:val="center"/>
          </w:tcPr>
          <w:p w14:paraId="4CDD62EB" w14:textId="74DA5EF9" w:rsidR="002A6B70" w:rsidRPr="007C7753"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rPr>
            </w:pPr>
            <w:r w:rsidRPr="007F7CAF">
              <w:rPr>
                <w:rFonts w:ascii="Arial" w:hAnsi="Arial"/>
                <w:sz w:val="20"/>
                <w:szCs w:val="20"/>
              </w:rPr>
              <w:t>4,520 Mrd. Euro</w:t>
            </w:r>
          </w:p>
        </w:tc>
        <w:tc>
          <w:tcPr>
            <w:tcW w:w="1800" w:type="dxa"/>
            <w:shd w:val="clear" w:color="auto" w:fill="C0C0C0"/>
            <w:vAlign w:val="center"/>
          </w:tcPr>
          <w:p w14:paraId="6428A823" w14:textId="34DACF7A" w:rsidR="002A6B70" w:rsidRPr="002A6B7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highlight w:val="yellow"/>
              </w:rPr>
            </w:pPr>
            <w:r w:rsidRPr="00FE0225">
              <w:rPr>
                <w:rFonts w:ascii="Arial" w:hAnsi="Arial"/>
                <w:sz w:val="20"/>
                <w:szCs w:val="20"/>
              </w:rPr>
              <w:t>4,7</w:t>
            </w:r>
            <w:r w:rsidR="00FE0225" w:rsidRPr="00FE0225">
              <w:rPr>
                <w:rFonts w:ascii="Arial" w:hAnsi="Arial"/>
                <w:sz w:val="20"/>
                <w:szCs w:val="20"/>
              </w:rPr>
              <w:t>1</w:t>
            </w:r>
            <w:r w:rsidR="00FE0225">
              <w:rPr>
                <w:rFonts w:ascii="Arial" w:hAnsi="Arial"/>
                <w:sz w:val="20"/>
                <w:szCs w:val="20"/>
              </w:rPr>
              <w:t>4</w:t>
            </w:r>
            <w:r w:rsidRPr="00FE0225">
              <w:rPr>
                <w:rFonts w:ascii="Arial" w:hAnsi="Arial"/>
                <w:sz w:val="20"/>
                <w:szCs w:val="20"/>
              </w:rPr>
              <w:t xml:space="preserve"> Mrd. Euro</w:t>
            </w:r>
          </w:p>
        </w:tc>
        <w:tc>
          <w:tcPr>
            <w:tcW w:w="1358" w:type="dxa"/>
            <w:shd w:val="clear" w:color="auto" w:fill="C0C0C0"/>
            <w:vAlign w:val="center"/>
          </w:tcPr>
          <w:p w14:paraId="06C7390F" w14:textId="4E08BDA8" w:rsidR="002A6B70" w:rsidRPr="002A6B7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highlight w:val="yellow"/>
              </w:rPr>
            </w:pPr>
            <w:r w:rsidRPr="002A6B70">
              <w:rPr>
                <w:rFonts w:ascii="Arial" w:hAnsi="Arial"/>
                <w:sz w:val="20"/>
                <w:szCs w:val="20"/>
              </w:rPr>
              <w:t>+ 4,2 %</w:t>
            </w:r>
          </w:p>
        </w:tc>
      </w:tr>
      <w:tr w:rsidR="002A6B70" w:rsidRPr="001A2E45" w14:paraId="6900089E" w14:textId="77777777" w:rsidTr="001353F3">
        <w:trPr>
          <w:trHeight w:val="284"/>
        </w:trPr>
        <w:tc>
          <w:tcPr>
            <w:tcW w:w="2700" w:type="dxa"/>
            <w:vAlign w:val="center"/>
          </w:tcPr>
          <w:p w14:paraId="1719349E" w14:textId="77777777" w:rsidR="002A6B70" w:rsidRDefault="002A6B70" w:rsidP="002A6B70">
            <w:pPr>
              <w:framePr w:hSpace="141" w:wrap="around" w:vAnchor="text" w:hAnchor="page" w:x="1608" w:y="251"/>
              <w:tabs>
                <w:tab w:val="left" w:pos="7920"/>
                <w:tab w:val="left" w:pos="8280"/>
                <w:tab w:val="left" w:pos="8820"/>
              </w:tabs>
              <w:spacing w:after="0"/>
              <w:ind w:right="381"/>
              <w:rPr>
                <w:rFonts w:ascii="Arial" w:hAnsi="Arial"/>
                <w:sz w:val="20"/>
                <w:szCs w:val="20"/>
              </w:rPr>
            </w:pPr>
            <w:r>
              <w:rPr>
                <w:rFonts w:ascii="Arial" w:hAnsi="Arial"/>
                <w:sz w:val="20"/>
                <w:szCs w:val="20"/>
              </w:rPr>
              <w:t>Mitglieder</w:t>
            </w:r>
          </w:p>
        </w:tc>
        <w:tc>
          <w:tcPr>
            <w:tcW w:w="1800" w:type="dxa"/>
            <w:vAlign w:val="center"/>
          </w:tcPr>
          <w:p w14:paraId="3D0440AE" w14:textId="097B0D5C" w:rsidR="002A6B70" w:rsidRPr="00484247"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rPr>
            </w:pPr>
            <w:r w:rsidRPr="007F7CAF">
              <w:rPr>
                <w:rFonts w:ascii="Arial" w:hAnsi="Arial"/>
                <w:sz w:val="20"/>
                <w:szCs w:val="20"/>
              </w:rPr>
              <w:t>220.114</w:t>
            </w:r>
          </w:p>
        </w:tc>
        <w:tc>
          <w:tcPr>
            <w:tcW w:w="1800" w:type="dxa"/>
            <w:vAlign w:val="center"/>
          </w:tcPr>
          <w:p w14:paraId="67321E49" w14:textId="0B4A0488" w:rsidR="002A6B70" w:rsidRPr="002A6B7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rPr>
            </w:pPr>
            <w:r w:rsidRPr="002A6B70">
              <w:rPr>
                <w:rFonts w:ascii="Arial" w:hAnsi="Arial"/>
                <w:sz w:val="20"/>
                <w:szCs w:val="20"/>
              </w:rPr>
              <w:t>218.316</w:t>
            </w:r>
          </w:p>
        </w:tc>
        <w:tc>
          <w:tcPr>
            <w:tcW w:w="1358" w:type="dxa"/>
            <w:vAlign w:val="center"/>
          </w:tcPr>
          <w:p w14:paraId="08C0D6E0" w14:textId="2C2D0A5F" w:rsidR="002A6B70" w:rsidRPr="002A6B7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rPr>
            </w:pPr>
            <w:r w:rsidRPr="002A6B70">
              <w:rPr>
                <w:rFonts w:ascii="Arial" w:hAnsi="Arial"/>
                <w:sz w:val="20"/>
                <w:szCs w:val="20"/>
              </w:rPr>
              <w:t xml:space="preserve">- </w:t>
            </w:r>
            <w:r w:rsidR="00FE0225">
              <w:rPr>
                <w:rFonts w:ascii="Arial" w:hAnsi="Arial"/>
                <w:sz w:val="20"/>
                <w:szCs w:val="20"/>
              </w:rPr>
              <w:t>0</w:t>
            </w:r>
            <w:r w:rsidRPr="002A6B70">
              <w:rPr>
                <w:rFonts w:ascii="Arial" w:hAnsi="Arial"/>
                <w:sz w:val="20"/>
                <w:szCs w:val="20"/>
              </w:rPr>
              <w:t>,8 %</w:t>
            </w:r>
          </w:p>
        </w:tc>
      </w:tr>
      <w:tr w:rsidR="002A6B70" w:rsidRPr="001A2E45" w14:paraId="2564D09F" w14:textId="77777777" w:rsidTr="001353F3">
        <w:trPr>
          <w:trHeight w:val="284"/>
        </w:trPr>
        <w:tc>
          <w:tcPr>
            <w:tcW w:w="2700" w:type="dxa"/>
            <w:shd w:val="pct25" w:color="auto" w:fill="auto"/>
            <w:vAlign w:val="center"/>
          </w:tcPr>
          <w:p w14:paraId="41578CE9" w14:textId="77777777" w:rsidR="002A6B70" w:rsidRPr="001A2E45" w:rsidRDefault="002A6B70" w:rsidP="002A6B70">
            <w:pPr>
              <w:framePr w:hSpace="141" w:wrap="around" w:vAnchor="text" w:hAnchor="page" w:x="1608" w:y="251"/>
              <w:tabs>
                <w:tab w:val="left" w:pos="7920"/>
                <w:tab w:val="left" w:pos="8280"/>
                <w:tab w:val="left" w:pos="8820"/>
              </w:tabs>
              <w:spacing w:after="0"/>
              <w:ind w:right="381"/>
              <w:rPr>
                <w:rFonts w:ascii="Arial" w:hAnsi="Arial"/>
                <w:sz w:val="20"/>
                <w:szCs w:val="20"/>
              </w:rPr>
            </w:pPr>
            <w:r>
              <w:rPr>
                <w:rFonts w:ascii="Arial" w:hAnsi="Arial"/>
                <w:sz w:val="20"/>
                <w:szCs w:val="20"/>
              </w:rPr>
              <w:t>Giro-Neukunden</w:t>
            </w:r>
          </w:p>
        </w:tc>
        <w:tc>
          <w:tcPr>
            <w:tcW w:w="1800" w:type="dxa"/>
            <w:shd w:val="pct25" w:color="auto" w:fill="auto"/>
            <w:vAlign w:val="center"/>
          </w:tcPr>
          <w:p w14:paraId="56C5959E" w14:textId="60190277" w:rsidR="002A6B70" w:rsidRPr="00484247"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rPr>
            </w:pPr>
            <w:r w:rsidRPr="00900AF1">
              <w:rPr>
                <w:rFonts w:ascii="Arial" w:hAnsi="Arial"/>
                <w:sz w:val="20"/>
                <w:szCs w:val="20"/>
              </w:rPr>
              <w:t>8.130 Konten</w:t>
            </w:r>
          </w:p>
        </w:tc>
        <w:tc>
          <w:tcPr>
            <w:tcW w:w="1800" w:type="dxa"/>
            <w:shd w:val="pct25" w:color="auto" w:fill="auto"/>
            <w:vAlign w:val="center"/>
          </w:tcPr>
          <w:p w14:paraId="7509B978" w14:textId="1970FD81" w:rsidR="002A6B70" w:rsidRPr="002A6B7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highlight w:val="yellow"/>
              </w:rPr>
            </w:pPr>
            <w:r w:rsidRPr="002A6B70">
              <w:rPr>
                <w:rFonts w:ascii="Arial" w:hAnsi="Arial"/>
                <w:sz w:val="20"/>
                <w:szCs w:val="20"/>
              </w:rPr>
              <w:t>4.680 Konten</w:t>
            </w:r>
          </w:p>
        </w:tc>
        <w:tc>
          <w:tcPr>
            <w:tcW w:w="1358" w:type="dxa"/>
            <w:shd w:val="pct25" w:color="auto" w:fill="auto"/>
            <w:vAlign w:val="center"/>
          </w:tcPr>
          <w:p w14:paraId="111D2017" w14:textId="77A15ABE" w:rsidR="002A6B70" w:rsidRPr="002A6B7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highlight w:val="yellow"/>
              </w:rPr>
            </w:pPr>
            <w:r w:rsidRPr="00FE0225">
              <w:rPr>
                <w:rFonts w:ascii="Arial" w:hAnsi="Arial"/>
                <w:sz w:val="20"/>
                <w:szCs w:val="20"/>
              </w:rPr>
              <w:t xml:space="preserve">- </w:t>
            </w:r>
            <w:r w:rsidR="00FE0225" w:rsidRPr="00FE0225">
              <w:rPr>
                <w:rFonts w:ascii="Arial" w:hAnsi="Arial"/>
                <w:sz w:val="20"/>
                <w:szCs w:val="20"/>
              </w:rPr>
              <w:t>42,4</w:t>
            </w:r>
            <w:r w:rsidRPr="00FE0225">
              <w:rPr>
                <w:rFonts w:ascii="Arial" w:hAnsi="Arial"/>
                <w:sz w:val="20"/>
                <w:szCs w:val="20"/>
              </w:rPr>
              <w:t xml:space="preserve"> %</w:t>
            </w:r>
          </w:p>
        </w:tc>
      </w:tr>
      <w:tr w:rsidR="002A6B70" w:rsidRPr="001A2E45" w14:paraId="423B29B9" w14:textId="77777777" w:rsidTr="001353F3">
        <w:trPr>
          <w:trHeight w:val="284"/>
        </w:trPr>
        <w:tc>
          <w:tcPr>
            <w:tcW w:w="2700" w:type="dxa"/>
            <w:shd w:val="clear" w:color="auto" w:fill="FFFFFF"/>
            <w:vAlign w:val="center"/>
          </w:tcPr>
          <w:p w14:paraId="27A43B6E" w14:textId="77777777" w:rsidR="002A6B70" w:rsidRPr="001A2E45" w:rsidRDefault="002A6B70" w:rsidP="002A6B70">
            <w:pPr>
              <w:framePr w:hSpace="141" w:wrap="around" w:vAnchor="text" w:hAnchor="page" w:x="1608" w:y="251"/>
              <w:tabs>
                <w:tab w:val="left" w:pos="7920"/>
                <w:tab w:val="left" w:pos="8280"/>
                <w:tab w:val="left" w:pos="8820"/>
              </w:tabs>
              <w:spacing w:after="0"/>
              <w:ind w:right="381"/>
              <w:rPr>
                <w:rFonts w:ascii="Arial" w:hAnsi="Arial"/>
                <w:sz w:val="20"/>
                <w:szCs w:val="20"/>
              </w:rPr>
            </w:pPr>
            <w:r w:rsidRPr="001A2E45">
              <w:rPr>
                <w:rFonts w:ascii="Arial" w:hAnsi="Arial"/>
                <w:sz w:val="20"/>
                <w:szCs w:val="20"/>
              </w:rPr>
              <w:t>Passiveinlagen</w:t>
            </w:r>
          </w:p>
        </w:tc>
        <w:tc>
          <w:tcPr>
            <w:tcW w:w="1800" w:type="dxa"/>
            <w:shd w:val="clear" w:color="auto" w:fill="FFFFFF"/>
            <w:vAlign w:val="center"/>
          </w:tcPr>
          <w:p w14:paraId="6288B25E" w14:textId="6E6AC541" w:rsidR="002A6B70" w:rsidRPr="00DE73FB"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highlight w:val="yellow"/>
              </w:rPr>
            </w:pPr>
            <w:r w:rsidRPr="00DF1AC7">
              <w:rPr>
                <w:rFonts w:ascii="Arial" w:hAnsi="Arial"/>
                <w:sz w:val="20"/>
                <w:szCs w:val="20"/>
              </w:rPr>
              <w:t>4,094 Mrd. Euro</w:t>
            </w:r>
          </w:p>
        </w:tc>
        <w:tc>
          <w:tcPr>
            <w:tcW w:w="1800" w:type="dxa"/>
            <w:shd w:val="clear" w:color="auto" w:fill="FFFFFF"/>
            <w:vAlign w:val="center"/>
          </w:tcPr>
          <w:p w14:paraId="312F9DF6" w14:textId="6E1D9F81" w:rsidR="002A6B70" w:rsidRPr="002A6B7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highlight w:val="yellow"/>
              </w:rPr>
            </w:pPr>
            <w:r w:rsidRPr="00FE0225">
              <w:rPr>
                <w:rFonts w:ascii="Arial" w:hAnsi="Arial"/>
                <w:sz w:val="20"/>
                <w:szCs w:val="20"/>
              </w:rPr>
              <w:t>4,1</w:t>
            </w:r>
            <w:r w:rsidR="00FE0225" w:rsidRPr="00FE0225">
              <w:rPr>
                <w:rFonts w:ascii="Arial" w:hAnsi="Arial"/>
                <w:sz w:val="20"/>
                <w:szCs w:val="20"/>
              </w:rPr>
              <w:t>4</w:t>
            </w:r>
            <w:r w:rsidR="00FE0225">
              <w:rPr>
                <w:rFonts w:ascii="Arial" w:hAnsi="Arial"/>
                <w:sz w:val="20"/>
                <w:szCs w:val="20"/>
              </w:rPr>
              <w:t>3</w:t>
            </w:r>
            <w:r w:rsidRPr="00FE0225">
              <w:rPr>
                <w:rFonts w:ascii="Arial" w:hAnsi="Arial"/>
                <w:sz w:val="20"/>
                <w:szCs w:val="20"/>
              </w:rPr>
              <w:t xml:space="preserve"> Mrd. Euro</w:t>
            </w:r>
          </w:p>
        </w:tc>
        <w:tc>
          <w:tcPr>
            <w:tcW w:w="1358" w:type="dxa"/>
            <w:shd w:val="clear" w:color="auto" w:fill="FFFFFF"/>
            <w:vAlign w:val="center"/>
          </w:tcPr>
          <w:p w14:paraId="0ACBA9BB" w14:textId="023BC93D" w:rsidR="002A6B70" w:rsidRPr="002A6B7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highlight w:val="yellow"/>
              </w:rPr>
            </w:pPr>
            <w:r w:rsidRPr="002A6B70">
              <w:rPr>
                <w:rFonts w:ascii="Arial" w:hAnsi="Arial"/>
                <w:sz w:val="20"/>
                <w:szCs w:val="20"/>
              </w:rPr>
              <w:t>+ 1,2 %</w:t>
            </w:r>
          </w:p>
        </w:tc>
      </w:tr>
      <w:tr w:rsidR="002A6B70" w:rsidRPr="001A2E45" w14:paraId="211BAF16" w14:textId="77777777" w:rsidTr="001353F3">
        <w:trPr>
          <w:trHeight w:val="284"/>
        </w:trPr>
        <w:tc>
          <w:tcPr>
            <w:tcW w:w="2700" w:type="dxa"/>
            <w:shd w:val="pct25" w:color="auto" w:fill="auto"/>
            <w:vAlign w:val="center"/>
          </w:tcPr>
          <w:p w14:paraId="72BC8049" w14:textId="77777777" w:rsidR="002A6B70" w:rsidRPr="001A2E45" w:rsidRDefault="002A6B70" w:rsidP="002A6B70">
            <w:pPr>
              <w:framePr w:hSpace="141" w:wrap="around" w:vAnchor="text" w:hAnchor="page" w:x="1608" w:y="251"/>
              <w:tabs>
                <w:tab w:val="left" w:pos="7920"/>
                <w:tab w:val="left" w:pos="8280"/>
                <w:tab w:val="left" w:pos="8820"/>
              </w:tabs>
              <w:spacing w:after="0"/>
              <w:ind w:right="381"/>
              <w:rPr>
                <w:rFonts w:ascii="Arial" w:hAnsi="Arial"/>
                <w:sz w:val="20"/>
                <w:szCs w:val="20"/>
              </w:rPr>
            </w:pPr>
            <w:r w:rsidRPr="001A2E45">
              <w:rPr>
                <w:rFonts w:ascii="Arial" w:hAnsi="Arial"/>
                <w:sz w:val="20"/>
                <w:szCs w:val="20"/>
              </w:rPr>
              <w:t>Kreditgeschäft</w:t>
            </w:r>
          </w:p>
        </w:tc>
        <w:tc>
          <w:tcPr>
            <w:tcW w:w="1800" w:type="dxa"/>
            <w:shd w:val="pct25" w:color="auto" w:fill="auto"/>
            <w:vAlign w:val="center"/>
          </w:tcPr>
          <w:p w14:paraId="449267CE" w14:textId="537A7165" w:rsidR="002A6B70" w:rsidRPr="003E407A"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rPr>
            </w:pPr>
            <w:r w:rsidRPr="00E13ED4">
              <w:rPr>
                <w:rFonts w:ascii="Arial" w:hAnsi="Arial"/>
                <w:sz w:val="20"/>
                <w:szCs w:val="20"/>
              </w:rPr>
              <w:t>2,910 Mrd. Euro</w:t>
            </w:r>
          </w:p>
        </w:tc>
        <w:tc>
          <w:tcPr>
            <w:tcW w:w="1800" w:type="dxa"/>
            <w:shd w:val="pct25" w:color="auto" w:fill="auto"/>
            <w:vAlign w:val="center"/>
          </w:tcPr>
          <w:p w14:paraId="3FA52A45" w14:textId="3AAE2D72" w:rsidR="002A6B70" w:rsidRPr="002A6B70" w:rsidRDefault="00496678" w:rsidP="002A6B70">
            <w:pPr>
              <w:framePr w:hSpace="141" w:wrap="around" w:vAnchor="text" w:hAnchor="page" w:x="1608" w:y="251"/>
              <w:tabs>
                <w:tab w:val="left" w:pos="7920"/>
                <w:tab w:val="left" w:pos="8280"/>
                <w:tab w:val="left" w:pos="8820"/>
              </w:tabs>
              <w:spacing w:after="0"/>
              <w:jc w:val="center"/>
              <w:rPr>
                <w:rFonts w:ascii="Arial" w:hAnsi="Arial"/>
                <w:sz w:val="20"/>
                <w:szCs w:val="20"/>
                <w:highlight w:val="yellow"/>
              </w:rPr>
            </w:pPr>
            <w:r w:rsidRPr="00ED2528">
              <w:rPr>
                <w:rFonts w:ascii="Arial" w:hAnsi="Arial"/>
                <w:sz w:val="20"/>
                <w:szCs w:val="20"/>
              </w:rPr>
              <w:t>3,2</w:t>
            </w:r>
            <w:r w:rsidR="00ED2528" w:rsidRPr="00ED2528">
              <w:rPr>
                <w:rFonts w:ascii="Arial" w:hAnsi="Arial"/>
                <w:sz w:val="20"/>
                <w:szCs w:val="20"/>
              </w:rPr>
              <w:t>06</w:t>
            </w:r>
            <w:r w:rsidR="002A6B70" w:rsidRPr="00ED2528">
              <w:rPr>
                <w:rFonts w:ascii="Arial" w:hAnsi="Arial"/>
                <w:sz w:val="20"/>
                <w:szCs w:val="20"/>
              </w:rPr>
              <w:t xml:space="preserve"> Mrd. Euro</w:t>
            </w:r>
          </w:p>
        </w:tc>
        <w:tc>
          <w:tcPr>
            <w:tcW w:w="1358" w:type="dxa"/>
            <w:shd w:val="pct25" w:color="auto" w:fill="auto"/>
            <w:vAlign w:val="center"/>
          </w:tcPr>
          <w:p w14:paraId="3E536A24" w14:textId="36969E4C" w:rsidR="002A6B70" w:rsidRPr="002A6B7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highlight w:val="yellow"/>
              </w:rPr>
            </w:pPr>
            <w:r w:rsidRPr="00496678">
              <w:rPr>
                <w:rFonts w:ascii="Arial" w:hAnsi="Arial"/>
                <w:sz w:val="20"/>
                <w:szCs w:val="20"/>
              </w:rPr>
              <w:t xml:space="preserve">+ </w:t>
            </w:r>
            <w:r w:rsidR="00496678" w:rsidRPr="00496678">
              <w:rPr>
                <w:rFonts w:ascii="Arial" w:hAnsi="Arial"/>
                <w:sz w:val="20"/>
                <w:szCs w:val="20"/>
              </w:rPr>
              <w:t>10,2</w:t>
            </w:r>
            <w:r w:rsidRPr="00496678">
              <w:rPr>
                <w:rFonts w:ascii="Arial" w:hAnsi="Arial"/>
                <w:sz w:val="20"/>
                <w:szCs w:val="20"/>
              </w:rPr>
              <w:t xml:space="preserve"> %</w:t>
            </w:r>
          </w:p>
        </w:tc>
      </w:tr>
      <w:tr w:rsidR="002A6B70" w:rsidRPr="001A2E45" w14:paraId="05142A70" w14:textId="77777777" w:rsidTr="001353F3">
        <w:trPr>
          <w:trHeight w:val="284"/>
        </w:trPr>
        <w:tc>
          <w:tcPr>
            <w:tcW w:w="2700" w:type="dxa"/>
            <w:shd w:val="clear" w:color="auto" w:fill="FFFFFF"/>
            <w:vAlign w:val="center"/>
          </w:tcPr>
          <w:p w14:paraId="3E18A7D3" w14:textId="77777777" w:rsidR="002A6B70" w:rsidRPr="001A2E45" w:rsidRDefault="002A6B70" w:rsidP="002A6B70">
            <w:pPr>
              <w:framePr w:hSpace="141" w:wrap="around" w:vAnchor="text" w:hAnchor="page" w:x="1608" w:y="251"/>
              <w:tabs>
                <w:tab w:val="left" w:pos="7920"/>
                <w:tab w:val="left" w:pos="8280"/>
                <w:tab w:val="left" w:pos="8820"/>
              </w:tabs>
              <w:spacing w:after="0"/>
              <w:ind w:right="380"/>
              <w:rPr>
                <w:rFonts w:ascii="Arial" w:hAnsi="Arial"/>
                <w:sz w:val="20"/>
                <w:szCs w:val="20"/>
              </w:rPr>
            </w:pPr>
            <w:r w:rsidRPr="001A2E45">
              <w:rPr>
                <w:rFonts w:ascii="Arial" w:hAnsi="Arial"/>
                <w:sz w:val="20"/>
                <w:szCs w:val="20"/>
              </w:rPr>
              <w:t>Neugeschäft</w:t>
            </w:r>
          </w:p>
          <w:p w14:paraId="52EB1268" w14:textId="77777777" w:rsidR="002A6B70" w:rsidRPr="001A2E45" w:rsidRDefault="002A6B70" w:rsidP="002A6B70">
            <w:pPr>
              <w:framePr w:hSpace="141" w:wrap="around" w:vAnchor="text" w:hAnchor="page" w:x="1608" w:y="251"/>
              <w:tabs>
                <w:tab w:val="left" w:pos="7920"/>
                <w:tab w:val="left" w:pos="8280"/>
                <w:tab w:val="left" w:pos="8820"/>
              </w:tabs>
              <w:spacing w:after="0"/>
              <w:ind w:right="380"/>
              <w:rPr>
                <w:rFonts w:ascii="Arial" w:hAnsi="Arial"/>
                <w:sz w:val="20"/>
                <w:szCs w:val="20"/>
              </w:rPr>
            </w:pPr>
            <w:r w:rsidRPr="001A2E45">
              <w:rPr>
                <w:rFonts w:ascii="Arial" w:hAnsi="Arial"/>
                <w:sz w:val="20"/>
                <w:szCs w:val="20"/>
              </w:rPr>
              <w:t>Baufinanzierung</w:t>
            </w:r>
          </w:p>
        </w:tc>
        <w:tc>
          <w:tcPr>
            <w:tcW w:w="1800" w:type="dxa"/>
            <w:shd w:val="clear" w:color="auto" w:fill="FFFFFF"/>
            <w:vAlign w:val="center"/>
          </w:tcPr>
          <w:p w14:paraId="1F2E07EF" w14:textId="5CF5848C" w:rsidR="002A6B70" w:rsidRPr="00DA7A5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rPr>
            </w:pPr>
            <w:r w:rsidRPr="00E13ED4">
              <w:rPr>
                <w:rFonts w:ascii="Arial" w:hAnsi="Arial"/>
                <w:sz w:val="20"/>
                <w:szCs w:val="20"/>
              </w:rPr>
              <w:t>657,0 Mio. Euro</w:t>
            </w:r>
          </w:p>
        </w:tc>
        <w:tc>
          <w:tcPr>
            <w:tcW w:w="1800" w:type="dxa"/>
            <w:shd w:val="clear" w:color="auto" w:fill="FFFFFF"/>
            <w:vAlign w:val="center"/>
          </w:tcPr>
          <w:p w14:paraId="43F321BB" w14:textId="24D875BD" w:rsidR="002A6B70" w:rsidRPr="002A6B70" w:rsidRDefault="00496678" w:rsidP="002A6B70">
            <w:pPr>
              <w:framePr w:hSpace="141" w:wrap="around" w:vAnchor="text" w:hAnchor="page" w:x="1608" w:y="251"/>
              <w:tabs>
                <w:tab w:val="left" w:pos="7920"/>
                <w:tab w:val="left" w:pos="8280"/>
                <w:tab w:val="left" w:pos="8820"/>
              </w:tabs>
              <w:spacing w:after="0"/>
              <w:jc w:val="center"/>
              <w:rPr>
                <w:rFonts w:ascii="Arial" w:hAnsi="Arial"/>
                <w:sz w:val="20"/>
                <w:szCs w:val="20"/>
              </w:rPr>
            </w:pPr>
            <w:r w:rsidRPr="008B26F6">
              <w:rPr>
                <w:rFonts w:ascii="Arial" w:hAnsi="Arial"/>
                <w:sz w:val="20"/>
                <w:szCs w:val="20"/>
              </w:rPr>
              <w:t>669</w:t>
            </w:r>
            <w:r w:rsidR="002A6B70" w:rsidRPr="008B26F6">
              <w:rPr>
                <w:rFonts w:ascii="Arial" w:hAnsi="Arial"/>
                <w:sz w:val="20"/>
                <w:szCs w:val="20"/>
              </w:rPr>
              <w:t>,</w:t>
            </w:r>
            <w:r w:rsidR="00854485">
              <w:rPr>
                <w:rFonts w:ascii="Arial" w:hAnsi="Arial"/>
                <w:sz w:val="20"/>
                <w:szCs w:val="20"/>
              </w:rPr>
              <w:t>4</w:t>
            </w:r>
            <w:r w:rsidR="002A6B70" w:rsidRPr="008B26F6">
              <w:rPr>
                <w:rFonts w:ascii="Arial" w:hAnsi="Arial"/>
                <w:sz w:val="20"/>
                <w:szCs w:val="20"/>
              </w:rPr>
              <w:t xml:space="preserve"> Mio. Euro</w:t>
            </w:r>
          </w:p>
        </w:tc>
        <w:tc>
          <w:tcPr>
            <w:tcW w:w="1358" w:type="dxa"/>
            <w:shd w:val="clear" w:color="auto" w:fill="FFFFFF"/>
            <w:vAlign w:val="center"/>
          </w:tcPr>
          <w:p w14:paraId="6161EED4" w14:textId="5F16B2B0" w:rsidR="002A6B70" w:rsidRPr="002A6B70" w:rsidRDefault="00496678" w:rsidP="002A6B70">
            <w:pPr>
              <w:framePr w:hSpace="141" w:wrap="around" w:vAnchor="text" w:hAnchor="page" w:x="1608" w:y="251"/>
              <w:tabs>
                <w:tab w:val="left" w:pos="7920"/>
                <w:tab w:val="left" w:pos="8280"/>
                <w:tab w:val="left" w:pos="8820"/>
              </w:tabs>
              <w:spacing w:after="0"/>
              <w:jc w:val="center"/>
              <w:rPr>
                <w:rFonts w:ascii="Arial" w:hAnsi="Arial"/>
                <w:sz w:val="20"/>
                <w:szCs w:val="20"/>
              </w:rPr>
            </w:pPr>
            <w:r>
              <w:rPr>
                <w:rFonts w:ascii="Arial" w:hAnsi="Arial"/>
                <w:sz w:val="20"/>
                <w:szCs w:val="20"/>
              </w:rPr>
              <w:t>+ 1</w:t>
            </w:r>
            <w:r w:rsidR="002A6B70">
              <w:rPr>
                <w:rFonts w:ascii="Arial" w:hAnsi="Arial"/>
                <w:sz w:val="20"/>
                <w:szCs w:val="20"/>
              </w:rPr>
              <w:t>,9</w:t>
            </w:r>
            <w:r w:rsidR="002A6B70" w:rsidRPr="002A6B70">
              <w:rPr>
                <w:rFonts w:ascii="Arial" w:hAnsi="Arial"/>
                <w:sz w:val="20"/>
                <w:szCs w:val="20"/>
              </w:rPr>
              <w:t xml:space="preserve"> %</w:t>
            </w:r>
          </w:p>
        </w:tc>
      </w:tr>
      <w:tr w:rsidR="002A6B70" w:rsidRPr="00DE328C" w14:paraId="796FC6B1" w14:textId="77777777" w:rsidTr="001353F3">
        <w:trPr>
          <w:trHeight w:val="284"/>
        </w:trPr>
        <w:tc>
          <w:tcPr>
            <w:tcW w:w="2700" w:type="dxa"/>
            <w:shd w:val="pct25" w:color="auto" w:fill="FFFFFF"/>
            <w:vAlign w:val="center"/>
          </w:tcPr>
          <w:p w14:paraId="71ACC1FB" w14:textId="77777777" w:rsidR="002A6B70" w:rsidRPr="001A2E45" w:rsidRDefault="002A6B70" w:rsidP="002A6B70">
            <w:pPr>
              <w:framePr w:hSpace="141" w:wrap="around" w:vAnchor="text" w:hAnchor="page" w:x="1608" w:y="251"/>
              <w:tabs>
                <w:tab w:val="left" w:pos="7920"/>
                <w:tab w:val="left" w:pos="8280"/>
                <w:tab w:val="left" w:pos="8820"/>
              </w:tabs>
              <w:spacing w:after="0"/>
              <w:ind w:right="381"/>
              <w:rPr>
                <w:rFonts w:ascii="Arial" w:hAnsi="Arial"/>
                <w:sz w:val="20"/>
                <w:szCs w:val="20"/>
              </w:rPr>
            </w:pPr>
            <w:r w:rsidRPr="001A2E45">
              <w:rPr>
                <w:rFonts w:ascii="Arial" w:hAnsi="Arial"/>
                <w:sz w:val="20"/>
                <w:szCs w:val="20"/>
              </w:rPr>
              <w:t>Bestand Privatkredite</w:t>
            </w:r>
          </w:p>
        </w:tc>
        <w:tc>
          <w:tcPr>
            <w:tcW w:w="1800" w:type="dxa"/>
            <w:shd w:val="pct25" w:color="auto" w:fill="FFFFFF"/>
            <w:vAlign w:val="center"/>
          </w:tcPr>
          <w:p w14:paraId="0B9ABC56" w14:textId="3B8BF9E0" w:rsidR="002A6B70" w:rsidRPr="00DA7A5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lang w:val="it-IT"/>
              </w:rPr>
            </w:pPr>
            <w:r w:rsidRPr="00E13ED4">
              <w:rPr>
                <w:rFonts w:ascii="Arial" w:hAnsi="Arial"/>
                <w:sz w:val="20"/>
                <w:szCs w:val="20"/>
                <w:lang w:val="it-IT"/>
              </w:rPr>
              <w:t>121,7 Mio. Euro</w:t>
            </w:r>
          </w:p>
        </w:tc>
        <w:tc>
          <w:tcPr>
            <w:tcW w:w="1800" w:type="dxa"/>
            <w:shd w:val="pct25" w:color="auto" w:fill="FFFFFF"/>
            <w:vAlign w:val="center"/>
          </w:tcPr>
          <w:p w14:paraId="4A37F659" w14:textId="4E868E54" w:rsidR="002A6B70" w:rsidRPr="002A6B7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lang w:val="it-IT"/>
              </w:rPr>
            </w:pPr>
            <w:r w:rsidRPr="002A6B70">
              <w:rPr>
                <w:rFonts w:ascii="Arial" w:hAnsi="Arial"/>
                <w:sz w:val="20"/>
                <w:szCs w:val="20"/>
                <w:lang w:val="it-IT"/>
              </w:rPr>
              <w:t>126,6 Mio. Euro</w:t>
            </w:r>
          </w:p>
        </w:tc>
        <w:tc>
          <w:tcPr>
            <w:tcW w:w="1358" w:type="dxa"/>
            <w:shd w:val="pct25" w:color="auto" w:fill="FFFFFF"/>
            <w:vAlign w:val="center"/>
          </w:tcPr>
          <w:p w14:paraId="5FF29CA1" w14:textId="759DFEC7" w:rsidR="002A6B70" w:rsidRPr="002A6B7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lang w:val="it-IT"/>
              </w:rPr>
            </w:pPr>
            <w:r w:rsidRPr="002A6B70">
              <w:rPr>
                <w:rFonts w:ascii="Arial" w:hAnsi="Arial"/>
                <w:sz w:val="20"/>
                <w:szCs w:val="20"/>
                <w:lang w:val="it-IT"/>
              </w:rPr>
              <w:t>+ 4,</w:t>
            </w:r>
            <w:r>
              <w:rPr>
                <w:rFonts w:ascii="Arial" w:hAnsi="Arial"/>
                <w:sz w:val="20"/>
                <w:szCs w:val="20"/>
                <w:lang w:val="it-IT"/>
              </w:rPr>
              <w:t>1</w:t>
            </w:r>
            <w:r w:rsidRPr="002A6B70">
              <w:rPr>
                <w:rFonts w:ascii="Arial" w:hAnsi="Arial"/>
                <w:sz w:val="20"/>
                <w:szCs w:val="20"/>
                <w:lang w:val="it-IT"/>
              </w:rPr>
              <w:t xml:space="preserve"> %</w:t>
            </w:r>
          </w:p>
        </w:tc>
      </w:tr>
      <w:tr w:rsidR="002A6B70" w:rsidRPr="001A2E45" w14:paraId="5C25E880" w14:textId="77777777" w:rsidTr="001353F3">
        <w:trPr>
          <w:trHeight w:val="284"/>
        </w:trPr>
        <w:tc>
          <w:tcPr>
            <w:tcW w:w="2700" w:type="dxa"/>
            <w:shd w:val="clear" w:color="auto" w:fill="FFFFFF"/>
            <w:vAlign w:val="center"/>
          </w:tcPr>
          <w:p w14:paraId="50267E51" w14:textId="77777777" w:rsidR="002A6B70" w:rsidRPr="001A2E45" w:rsidRDefault="002A6B70" w:rsidP="002A6B70">
            <w:pPr>
              <w:framePr w:hSpace="141" w:wrap="around" w:vAnchor="text" w:hAnchor="page" w:x="1608" w:y="251"/>
              <w:tabs>
                <w:tab w:val="left" w:pos="7920"/>
                <w:tab w:val="left" w:pos="8280"/>
                <w:tab w:val="left" w:pos="8820"/>
              </w:tabs>
              <w:spacing w:after="0"/>
              <w:ind w:right="381"/>
              <w:rPr>
                <w:rFonts w:ascii="Arial" w:hAnsi="Arial"/>
                <w:sz w:val="20"/>
                <w:szCs w:val="20"/>
                <w:lang w:val="it-IT"/>
              </w:rPr>
            </w:pPr>
            <w:r w:rsidRPr="00DE328C">
              <w:rPr>
                <w:rFonts w:ascii="Arial" w:hAnsi="Arial"/>
                <w:sz w:val="20"/>
                <w:szCs w:val="20"/>
              </w:rPr>
              <w:t>Bausparvolumen</w:t>
            </w:r>
          </w:p>
        </w:tc>
        <w:tc>
          <w:tcPr>
            <w:tcW w:w="1800" w:type="dxa"/>
            <w:shd w:val="clear" w:color="auto" w:fill="FFFFFF"/>
            <w:vAlign w:val="center"/>
          </w:tcPr>
          <w:p w14:paraId="6FC8D9BE" w14:textId="3C3F1EC9" w:rsidR="002A6B70" w:rsidRPr="00484247"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lang w:val="it-IT"/>
              </w:rPr>
            </w:pPr>
            <w:r w:rsidRPr="00E13ED4">
              <w:rPr>
                <w:rFonts w:ascii="Arial" w:hAnsi="Arial"/>
                <w:sz w:val="20"/>
                <w:szCs w:val="20"/>
                <w:lang w:val="it-IT"/>
              </w:rPr>
              <w:t>107,5 Mio. Euro</w:t>
            </w:r>
          </w:p>
        </w:tc>
        <w:tc>
          <w:tcPr>
            <w:tcW w:w="1800" w:type="dxa"/>
            <w:shd w:val="clear" w:color="auto" w:fill="FFFFFF"/>
            <w:vAlign w:val="center"/>
          </w:tcPr>
          <w:p w14:paraId="07563295" w14:textId="7C3F4967" w:rsidR="002A6B70" w:rsidRPr="002A6B7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lang w:val="it-IT"/>
              </w:rPr>
            </w:pPr>
            <w:r w:rsidRPr="002A6B70">
              <w:rPr>
                <w:rFonts w:ascii="Arial" w:hAnsi="Arial"/>
                <w:sz w:val="20"/>
                <w:szCs w:val="20"/>
                <w:lang w:val="it-IT"/>
              </w:rPr>
              <w:t>101,3 Mio. Euro</w:t>
            </w:r>
          </w:p>
        </w:tc>
        <w:tc>
          <w:tcPr>
            <w:tcW w:w="1358" w:type="dxa"/>
            <w:shd w:val="clear" w:color="auto" w:fill="FFFFFF"/>
            <w:vAlign w:val="center"/>
          </w:tcPr>
          <w:p w14:paraId="10DF289E" w14:textId="0A7DE569" w:rsidR="002A6B70" w:rsidRPr="002A6B7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lang w:val="it-IT"/>
              </w:rPr>
            </w:pPr>
            <w:r w:rsidRPr="002A6B70">
              <w:rPr>
                <w:rFonts w:ascii="Arial" w:hAnsi="Arial"/>
                <w:sz w:val="20"/>
                <w:szCs w:val="20"/>
                <w:lang w:val="it-IT"/>
              </w:rPr>
              <w:t>- 5,7 %</w:t>
            </w:r>
          </w:p>
        </w:tc>
      </w:tr>
      <w:tr w:rsidR="002A6B70" w:rsidRPr="001A2E45" w14:paraId="41B9BDD9" w14:textId="77777777" w:rsidTr="001353F3">
        <w:trPr>
          <w:trHeight w:val="284"/>
        </w:trPr>
        <w:tc>
          <w:tcPr>
            <w:tcW w:w="2700" w:type="dxa"/>
            <w:shd w:val="pct25" w:color="auto" w:fill="FFFFFF"/>
            <w:vAlign w:val="center"/>
          </w:tcPr>
          <w:p w14:paraId="35554BB2" w14:textId="77777777" w:rsidR="002A6B70" w:rsidRPr="001A2E45" w:rsidRDefault="002A6B70" w:rsidP="002A6B70">
            <w:pPr>
              <w:framePr w:hSpace="141" w:wrap="around" w:vAnchor="text" w:hAnchor="page" w:x="1608" w:y="251"/>
              <w:tabs>
                <w:tab w:val="left" w:pos="7920"/>
                <w:tab w:val="left" w:pos="8280"/>
                <w:tab w:val="left" w:pos="8820"/>
              </w:tabs>
              <w:spacing w:after="0"/>
              <w:ind w:right="381"/>
              <w:rPr>
                <w:rFonts w:ascii="Arial" w:hAnsi="Arial"/>
                <w:color w:val="000000"/>
                <w:sz w:val="20"/>
                <w:szCs w:val="20"/>
                <w:lang w:val="it-IT"/>
              </w:rPr>
            </w:pPr>
            <w:proofErr w:type="spellStart"/>
            <w:r w:rsidRPr="001A2E45">
              <w:rPr>
                <w:rFonts w:ascii="Arial" w:hAnsi="Arial"/>
                <w:color w:val="000000"/>
                <w:sz w:val="20"/>
                <w:szCs w:val="20"/>
                <w:lang w:val="it-IT"/>
              </w:rPr>
              <w:t>Investmentgeschäft</w:t>
            </w:r>
            <w:proofErr w:type="spellEnd"/>
          </w:p>
        </w:tc>
        <w:tc>
          <w:tcPr>
            <w:tcW w:w="1800" w:type="dxa"/>
            <w:shd w:val="pct25" w:color="auto" w:fill="FFFFFF"/>
            <w:vAlign w:val="center"/>
          </w:tcPr>
          <w:p w14:paraId="2445B34C" w14:textId="20C1ECF4" w:rsidR="002A6B70" w:rsidRPr="00484247"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lang w:val="it-IT"/>
              </w:rPr>
            </w:pPr>
            <w:r w:rsidRPr="00E13ED4">
              <w:rPr>
                <w:rFonts w:ascii="Arial" w:hAnsi="Arial"/>
                <w:sz w:val="20"/>
                <w:szCs w:val="20"/>
              </w:rPr>
              <w:t>774,7 Mio.</w:t>
            </w:r>
            <w:r w:rsidRPr="00E13ED4">
              <w:rPr>
                <w:rFonts w:ascii="Arial" w:hAnsi="Arial"/>
                <w:sz w:val="20"/>
                <w:szCs w:val="20"/>
                <w:lang w:val="it-IT"/>
              </w:rPr>
              <w:t xml:space="preserve"> Euro</w:t>
            </w:r>
          </w:p>
        </w:tc>
        <w:tc>
          <w:tcPr>
            <w:tcW w:w="1800" w:type="dxa"/>
            <w:shd w:val="pct25" w:color="auto" w:fill="FFFFFF"/>
            <w:vAlign w:val="center"/>
          </w:tcPr>
          <w:p w14:paraId="20FC36F7" w14:textId="42C6EAA3" w:rsidR="002A6B70" w:rsidRPr="002A6B7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lang w:val="it-IT"/>
              </w:rPr>
            </w:pPr>
            <w:r w:rsidRPr="002A6B70">
              <w:rPr>
                <w:rFonts w:ascii="Arial" w:hAnsi="Arial"/>
                <w:sz w:val="20"/>
                <w:szCs w:val="20"/>
              </w:rPr>
              <w:t>803,9 Mio.</w:t>
            </w:r>
            <w:r w:rsidRPr="002A6B70">
              <w:rPr>
                <w:rFonts w:ascii="Arial" w:hAnsi="Arial"/>
                <w:sz w:val="20"/>
                <w:szCs w:val="20"/>
                <w:lang w:val="it-IT"/>
              </w:rPr>
              <w:t xml:space="preserve"> Euro</w:t>
            </w:r>
          </w:p>
        </w:tc>
        <w:tc>
          <w:tcPr>
            <w:tcW w:w="1358" w:type="dxa"/>
            <w:shd w:val="pct25" w:color="auto" w:fill="FFFFFF"/>
            <w:vAlign w:val="center"/>
          </w:tcPr>
          <w:p w14:paraId="06D558BB" w14:textId="430A3473" w:rsidR="002A6B70" w:rsidRPr="002A6B70" w:rsidRDefault="002A6B70" w:rsidP="002A6B70">
            <w:pPr>
              <w:framePr w:hSpace="141" w:wrap="around" w:vAnchor="text" w:hAnchor="page" w:x="1608" w:y="251"/>
              <w:tabs>
                <w:tab w:val="left" w:pos="7920"/>
                <w:tab w:val="left" w:pos="8280"/>
                <w:tab w:val="left" w:pos="8820"/>
              </w:tabs>
              <w:spacing w:after="0"/>
              <w:jc w:val="center"/>
              <w:rPr>
                <w:rFonts w:ascii="Arial" w:hAnsi="Arial"/>
                <w:sz w:val="20"/>
                <w:szCs w:val="20"/>
                <w:lang w:val="it-IT"/>
              </w:rPr>
            </w:pPr>
            <w:r w:rsidRPr="002A6B70">
              <w:rPr>
                <w:rFonts w:ascii="Arial" w:hAnsi="Arial"/>
                <w:sz w:val="20"/>
                <w:szCs w:val="20"/>
                <w:lang w:val="it-IT"/>
              </w:rPr>
              <w:t>+ 3,8 %</w:t>
            </w:r>
          </w:p>
        </w:tc>
      </w:tr>
    </w:tbl>
    <w:p w14:paraId="7AABF8CA" w14:textId="77777777" w:rsidR="002B2F88" w:rsidRPr="001A2E45" w:rsidRDefault="002B2F88" w:rsidP="002B2F88">
      <w:pPr>
        <w:tabs>
          <w:tab w:val="left" w:pos="7920"/>
          <w:tab w:val="left" w:pos="8280"/>
          <w:tab w:val="left" w:pos="8820"/>
        </w:tabs>
        <w:spacing w:after="0" w:line="360" w:lineRule="auto"/>
        <w:ind w:right="381"/>
        <w:rPr>
          <w:rFonts w:ascii="Arial" w:hAnsi="Arial"/>
          <w:lang w:val="it-IT"/>
        </w:rPr>
      </w:pPr>
    </w:p>
    <w:p w14:paraId="32744D8D" w14:textId="77777777" w:rsidR="002B2F88" w:rsidRDefault="002B2F88" w:rsidP="002B2F88">
      <w:pPr>
        <w:spacing w:after="0"/>
        <w:ind w:right="1462"/>
        <w:rPr>
          <w:rFonts w:ascii="Arial" w:hAnsi="Arial"/>
          <w:b/>
          <w:sz w:val="18"/>
        </w:rPr>
      </w:pPr>
    </w:p>
    <w:p w14:paraId="32CFF0EA" w14:textId="77777777" w:rsidR="002B2F88" w:rsidRDefault="002B2F88" w:rsidP="002B2F88">
      <w:pPr>
        <w:spacing w:after="0"/>
        <w:ind w:right="1462"/>
        <w:rPr>
          <w:rFonts w:ascii="Arial" w:hAnsi="Arial"/>
          <w:b/>
          <w:sz w:val="18"/>
        </w:rPr>
      </w:pPr>
    </w:p>
    <w:p w14:paraId="6E5A20EA" w14:textId="77777777" w:rsidR="002B2F88" w:rsidRDefault="002B2F88" w:rsidP="002B2F88">
      <w:pPr>
        <w:spacing w:after="0"/>
        <w:ind w:right="1462"/>
        <w:rPr>
          <w:rFonts w:ascii="Arial" w:hAnsi="Arial"/>
          <w:b/>
          <w:sz w:val="18"/>
        </w:rPr>
      </w:pPr>
    </w:p>
    <w:p w14:paraId="12AD9E08" w14:textId="77777777" w:rsidR="002B2F88" w:rsidRDefault="002B2F88" w:rsidP="002B2F88">
      <w:pPr>
        <w:spacing w:after="0"/>
        <w:ind w:right="1462"/>
        <w:rPr>
          <w:rFonts w:ascii="Arial" w:hAnsi="Arial"/>
          <w:b/>
          <w:sz w:val="18"/>
        </w:rPr>
      </w:pPr>
    </w:p>
    <w:p w14:paraId="29945779" w14:textId="77777777" w:rsidR="002B2F88" w:rsidRDefault="002B2F88" w:rsidP="002B2F88">
      <w:pPr>
        <w:spacing w:after="0"/>
        <w:ind w:right="1462"/>
        <w:rPr>
          <w:rFonts w:ascii="Arial" w:hAnsi="Arial"/>
          <w:b/>
          <w:sz w:val="18"/>
        </w:rPr>
      </w:pPr>
    </w:p>
    <w:p w14:paraId="3AEC8A22" w14:textId="77777777" w:rsidR="002B2F88" w:rsidRDefault="002B2F88" w:rsidP="002B2F88">
      <w:pPr>
        <w:spacing w:after="0"/>
        <w:ind w:right="1462"/>
        <w:rPr>
          <w:rFonts w:ascii="Arial" w:hAnsi="Arial"/>
          <w:b/>
          <w:sz w:val="18"/>
        </w:rPr>
      </w:pPr>
    </w:p>
    <w:p w14:paraId="1F7C17A4" w14:textId="77777777" w:rsidR="002B2F88" w:rsidRPr="001A2E45" w:rsidRDefault="002B2F88" w:rsidP="002B2F88">
      <w:pPr>
        <w:spacing w:after="0"/>
        <w:ind w:right="1462"/>
        <w:rPr>
          <w:rFonts w:ascii="Arial" w:hAnsi="Arial"/>
          <w:b/>
          <w:sz w:val="18"/>
        </w:rPr>
      </w:pPr>
      <w:r w:rsidRPr="001A2E45">
        <w:rPr>
          <w:rFonts w:ascii="Arial" w:hAnsi="Arial"/>
          <w:b/>
          <w:sz w:val="18"/>
        </w:rPr>
        <w:t>Weitere Informationen:</w:t>
      </w:r>
      <w:r w:rsidRPr="001A2E45">
        <w:rPr>
          <w:rFonts w:ascii="Arial" w:hAnsi="Arial"/>
          <w:b/>
          <w:sz w:val="18"/>
        </w:rPr>
        <w:tab/>
      </w:r>
      <w:r w:rsidRPr="001A2E45">
        <w:rPr>
          <w:rFonts w:ascii="Arial" w:hAnsi="Arial"/>
          <w:b/>
          <w:sz w:val="18"/>
        </w:rPr>
        <w:tab/>
      </w:r>
      <w:r w:rsidRPr="001A2E45">
        <w:rPr>
          <w:rFonts w:ascii="Arial" w:hAnsi="Arial"/>
          <w:b/>
          <w:sz w:val="18"/>
        </w:rPr>
        <w:tab/>
      </w:r>
      <w:r w:rsidRPr="001A2E45">
        <w:rPr>
          <w:rFonts w:ascii="Arial" w:hAnsi="Arial"/>
          <w:b/>
          <w:sz w:val="18"/>
        </w:rPr>
        <w:tab/>
      </w:r>
      <w:r w:rsidRPr="001A2E45">
        <w:rPr>
          <w:rFonts w:ascii="Arial" w:hAnsi="Arial"/>
          <w:b/>
          <w:sz w:val="18"/>
        </w:rPr>
        <w:tab/>
      </w:r>
      <w:r w:rsidRPr="001A2E45">
        <w:rPr>
          <w:rFonts w:ascii="Arial" w:hAnsi="Arial"/>
          <w:b/>
          <w:sz w:val="18"/>
        </w:rPr>
        <w:tab/>
        <w:t>Medienkontakt:</w:t>
      </w:r>
    </w:p>
    <w:p w14:paraId="76A3A785" w14:textId="77777777" w:rsidR="002B2F88" w:rsidRPr="001A2E45" w:rsidRDefault="002B2F88" w:rsidP="002B2F88">
      <w:pPr>
        <w:spacing w:after="0"/>
        <w:ind w:right="562"/>
        <w:rPr>
          <w:rFonts w:ascii="Arial" w:hAnsi="Arial"/>
          <w:sz w:val="18"/>
        </w:rPr>
      </w:pPr>
      <w:proofErr w:type="spellStart"/>
      <w:r w:rsidRPr="001A2E45">
        <w:rPr>
          <w:rFonts w:ascii="Arial" w:hAnsi="Arial"/>
          <w:sz w:val="18"/>
        </w:rPr>
        <w:t>Sparda-Bank</w:t>
      </w:r>
      <w:proofErr w:type="spellEnd"/>
      <w:r w:rsidRPr="001A2E45">
        <w:rPr>
          <w:rFonts w:ascii="Arial" w:hAnsi="Arial"/>
          <w:sz w:val="18"/>
        </w:rPr>
        <w:t xml:space="preserve"> Nürnberg</w:t>
      </w:r>
      <w:r w:rsidRPr="001A2E45">
        <w:rPr>
          <w:rFonts w:ascii="Arial" w:hAnsi="Arial"/>
          <w:sz w:val="18"/>
        </w:rPr>
        <w:tab/>
      </w:r>
      <w:r w:rsidRPr="001A2E45">
        <w:rPr>
          <w:rFonts w:ascii="Arial" w:hAnsi="Arial"/>
          <w:sz w:val="18"/>
        </w:rPr>
        <w:tab/>
      </w:r>
      <w:r w:rsidRPr="001A2E45">
        <w:rPr>
          <w:rFonts w:ascii="Arial" w:hAnsi="Arial"/>
          <w:sz w:val="18"/>
        </w:rPr>
        <w:tab/>
      </w:r>
      <w:r w:rsidRPr="001A2E45">
        <w:rPr>
          <w:rFonts w:ascii="Arial" w:hAnsi="Arial"/>
          <w:sz w:val="18"/>
        </w:rPr>
        <w:tab/>
      </w:r>
      <w:r w:rsidRPr="001A2E45">
        <w:rPr>
          <w:rFonts w:ascii="Arial" w:hAnsi="Arial"/>
          <w:sz w:val="18"/>
        </w:rPr>
        <w:tab/>
      </w:r>
      <w:r w:rsidRPr="001A2E45">
        <w:rPr>
          <w:rFonts w:ascii="Arial" w:hAnsi="Arial"/>
          <w:sz w:val="18"/>
        </w:rPr>
        <w:tab/>
        <w:t xml:space="preserve">KONTEXT </w:t>
      </w:r>
      <w:proofErr w:type="spellStart"/>
      <w:r w:rsidRPr="001A2E45">
        <w:rPr>
          <w:rFonts w:ascii="Arial" w:hAnsi="Arial"/>
          <w:sz w:val="18"/>
        </w:rPr>
        <w:t>public</w:t>
      </w:r>
      <w:proofErr w:type="spellEnd"/>
      <w:r w:rsidRPr="001A2E45">
        <w:rPr>
          <w:rFonts w:ascii="Arial" w:hAnsi="Arial"/>
          <w:sz w:val="18"/>
        </w:rPr>
        <w:t xml:space="preserve"> </w:t>
      </w:r>
      <w:proofErr w:type="spellStart"/>
      <w:r w:rsidRPr="001A2E45">
        <w:rPr>
          <w:rFonts w:ascii="Arial" w:hAnsi="Arial"/>
          <w:sz w:val="18"/>
        </w:rPr>
        <w:t>relations</w:t>
      </w:r>
      <w:proofErr w:type="spellEnd"/>
      <w:r w:rsidRPr="001A2E45">
        <w:rPr>
          <w:rFonts w:ascii="Arial" w:hAnsi="Arial"/>
          <w:sz w:val="18"/>
        </w:rPr>
        <w:t xml:space="preserve"> GmbH</w:t>
      </w:r>
    </w:p>
    <w:p w14:paraId="7F5E9B50" w14:textId="1F310EB4" w:rsidR="002B2F88" w:rsidRPr="001A2E45" w:rsidRDefault="002B2F88" w:rsidP="002B2F88">
      <w:pPr>
        <w:spacing w:after="0"/>
        <w:ind w:right="1462"/>
        <w:rPr>
          <w:rFonts w:ascii="Arial" w:hAnsi="Arial"/>
          <w:sz w:val="18"/>
        </w:rPr>
      </w:pPr>
      <w:r w:rsidRPr="001A2E45">
        <w:rPr>
          <w:rFonts w:ascii="Arial" w:hAnsi="Arial"/>
          <w:sz w:val="18"/>
        </w:rPr>
        <w:t>Abteilungsdirektor Marketing</w:t>
      </w:r>
      <w:r w:rsidRPr="001A2E45">
        <w:rPr>
          <w:rFonts w:ascii="Arial" w:hAnsi="Arial"/>
          <w:sz w:val="18"/>
        </w:rPr>
        <w:tab/>
      </w:r>
      <w:r w:rsidRPr="001A2E45">
        <w:rPr>
          <w:rFonts w:ascii="Arial" w:hAnsi="Arial"/>
          <w:sz w:val="18"/>
        </w:rPr>
        <w:tab/>
      </w:r>
      <w:r w:rsidRPr="001A2E45">
        <w:rPr>
          <w:rFonts w:ascii="Arial" w:hAnsi="Arial"/>
          <w:sz w:val="18"/>
        </w:rPr>
        <w:tab/>
      </w:r>
      <w:r w:rsidRPr="001A2E45">
        <w:rPr>
          <w:rFonts w:ascii="Arial" w:hAnsi="Arial"/>
          <w:sz w:val="18"/>
        </w:rPr>
        <w:tab/>
      </w:r>
      <w:r w:rsidRPr="001A2E45">
        <w:rPr>
          <w:rFonts w:ascii="Arial" w:hAnsi="Arial"/>
          <w:sz w:val="18"/>
        </w:rPr>
        <w:tab/>
        <w:t xml:space="preserve">Janine </w:t>
      </w:r>
      <w:r w:rsidR="00650AA5">
        <w:rPr>
          <w:rFonts w:ascii="Arial" w:hAnsi="Arial"/>
          <w:sz w:val="18"/>
        </w:rPr>
        <w:t>Wölfel</w:t>
      </w:r>
    </w:p>
    <w:p w14:paraId="6B7951F5" w14:textId="77777777" w:rsidR="002B2F88" w:rsidRPr="001A2E45" w:rsidRDefault="002B2F88" w:rsidP="002B2F88">
      <w:pPr>
        <w:spacing w:after="0"/>
        <w:ind w:right="1462"/>
        <w:rPr>
          <w:rFonts w:ascii="Arial" w:hAnsi="Arial"/>
          <w:sz w:val="18"/>
        </w:rPr>
      </w:pPr>
      <w:r w:rsidRPr="001A2E45">
        <w:rPr>
          <w:rFonts w:ascii="Arial" w:hAnsi="Arial"/>
          <w:sz w:val="18"/>
        </w:rPr>
        <w:t>Frank Büttner</w:t>
      </w:r>
      <w:r w:rsidRPr="001A2E45">
        <w:rPr>
          <w:rFonts w:ascii="Arial" w:hAnsi="Arial"/>
          <w:sz w:val="18"/>
        </w:rPr>
        <w:tab/>
      </w:r>
      <w:r w:rsidRPr="001A2E45">
        <w:rPr>
          <w:rFonts w:ascii="Arial" w:hAnsi="Arial"/>
          <w:sz w:val="18"/>
        </w:rPr>
        <w:tab/>
      </w:r>
      <w:r w:rsidRPr="001A2E45">
        <w:rPr>
          <w:rFonts w:ascii="Arial" w:hAnsi="Arial"/>
          <w:sz w:val="18"/>
        </w:rPr>
        <w:tab/>
      </w:r>
      <w:r w:rsidRPr="001A2E45">
        <w:rPr>
          <w:rFonts w:ascii="Arial" w:hAnsi="Arial"/>
          <w:sz w:val="18"/>
        </w:rPr>
        <w:tab/>
      </w:r>
      <w:r w:rsidRPr="001A2E45">
        <w:rPr>
          <w:rFonts w:ascii="Arial" w:hAnsi="Arial"/>
          <w:sz w:val="18"/>
        </w:rPr>
        <w:tab/>
      </w:r>
      <w:r w:rsidRPr="001A2E45">
        <w:rPr>
          <w:rFonts w:ascii="Arial" w:hAnsi="Arial"/>
          <w:sz w:val="18"/>
        </w:rPr>
        <w:tab/>
      </w:r>
      <w:r w:rsidRPr="001A2E45">
        <w:rPr>
          <w:rFonts w:ascii="Arial" w:hAnsi="Arial"/>
          <w:sz w:val="18"/>
        </w:rPr>
        <w:tab/>
        <w:t>Melli-Beese-Straße 19</w:t>
      </w:r>
    </w:p>
    <w:p w14:paraId="284A149F" w14:textId="77777777" w:rsidR="002B2F88" w:rsidRPr="001A2E45" w:rsidRDefault="002B2F88" w:rsidP="002B2F88">
      <w:pPr>
        <w:spacing w:after="0"/>
        <w:ind w:right="1462"/>
        <w:rPr>
          <w:rFonts w:ascii="Arial" w:hAnsi="Arial"/>
          <w:sz w:val="18"/>
        </w:rPr>
      </w:pPr>
      <w:r w:rsidRPr="001A2E45">
        <w:rPr>
          <w:rFonts w:ascii="Arial" w:hAnsi="Arial"/>
          <w:sz w:val="18"/>
        </w:rPr>
        <w:t>Fon 0911/2477-321</w:t>
      </w:r>
      <w:r w:rsidRPr="001A2E45">
        <w:rPr>
          <w:rFonts w:ascii="Arial" w:hAnsi="Arial"/>
          <w:sz w:val="18"/>
        </w:rPr>
        <w:tab/>
      </w:r>
      <w:r w:rsidRPr="001A2E45">
        <w:rPr>
          <w:rFonts w:ascii="Arial" w:hAnsi="Arial"/>
          <w:sz w:val="18"/>
        </w:rPr>
        <w:tab/>
      </w:r>
      <w:r w:rsidRPr="001A2E45">
        <w:rPr>
          <w:rFonts w:ascii="Arial" w:hAnsi="Arial"/>
          <w:sz w:val="18"/>
        </w:rPr>
        <w:tab/>
      </w:r>
      <w:r w:rsidRPr="001A2E45">
        <w:rPr>
          <w:rFonts w:ascii="Arial" w:hAnsi="Arial"/>
          <w:sz w:val="18"/>
        </w:rPr>
        <w:tab/>
      </w:r>
      <w:r w:rsidRPr="001A2E45">
        <w:rPr>
          <w:rFonts w:ascii="Arial" w:hAnsi="Arial"/>
          <w:sz w:val="18"/>
        </w:rPr>
        <w:tab/>
      </w:r>
      <w:r w:rsidRPr="001A2E45">
        <w:rPr>
          <w:rFonts w:ascii="Arial" w:hAnsi="Arial"/>
          <w:sz w:val="18"/>
        </w:rPr>
        <w:tab/>
        <w:t xml:space="preserve">90768 Fürth </w:t>
      </w:r>
    </w:p>
    <w:p w14:paraId="3D05F1E7" w14:textId="77777777" w:rsidR="002B2F88" w:rsidRPr="001A2E45" w:rsidRDefault="002B2F88" w:rsidP="002B2F88">
      <w:pPr>
        <w:spacing w:after="0"/>
        <w:ind w:right="1462"/>
        <w:rPr>
          <w:rFonts w:ascii="Arial" w:hAnsi="Arial"/>
          <w:sz w:val="18"/>
        </w:rPr>
      </w:pPr>
      <w:r w:rsidRPr="001A2E45">
        <w:rPr>
          <w:rFonts w:ascii="Arial" w:hAnsi="Arial"/>
          <w:sz w:val="18"/>
        </w:rPr>
        <w:t>Fax 0911/2477-329</w:t>
      </w:r>
      <w:r w:rsidRPr="001A2E45">
        <w:rPr>
          <w:rFonts w:ascii="Arial" w:hAnsi="Arial"/>
          <w:sz w:val="18"/>
        </w:rPr>
        <w:tab/>
      </w:r>
      <w:r w:rsidRPr="001A2E45">
        <w:rPr>
          <w:rFonts w:ascii="Arial" w:hAnsi="Arial"/>
          <w:sz w:val="18"/>
        </w:rPr>
        <w:tab/>
      </w:r>
      <w:r w:rsidRPr="001A2E45">
        <w:rPr>
          <w:rFonts w:ascii="Arial" w:hAnsi="Arial"/>
          <w:sz w:val="18"/>
        </w:rPr>
        <w:tab/>
      </w:r>
      <w:r w:rsidRPr="001A2E45">
        <w:rPr>
          <w:rFonts w:ascii="Arial" w:hAnsi="Arial"/>
          <w:sz w:val="18"/>
        </w:rPr>
        <w:tab/>
      </w:r>
      <w:r w:rsidRPr="001A2E45">
        <w:rPr>
          <w:rFonts w:ascii="Arial" w:hAnsi="Arial"/>
          <w:sz w:val="18"/>
        </w:rPr>
        <w:tab/>
      </w:r>
      <w:r w:rsidRPr="001A2E45">
        <w:rPr>
          <w:rFonts w:ascii="Arial" w:hAnsi="Arial"/>
          <w:sz w:val="18"/>
        </w:rPr>
        <w:tab/>
        <w:t>Fon 0911/97 47 8-0</w:t>
      </w:r>
    </w:p>
    <w:p w14:paraId="281DF21A" w14:textId="77777777" w:rsidR="002B2F88" w:rsidRPr="001A2E45" w:rsidRDefault="002B2F88" w:rsidP="002B2F88">
      <w:pPr>
        <w:spacing w:after="0"/>
        <w:ind w:right="1462"/>
        <w:rPr>
          <w:rFonts w:ascii="Arial" w:hAnsi="Arial"/>
          <w:sz w:val="18"/>
        </w:rPr>
      </w:pPr>
      <w:r w:rsidRPr="001A2E45">
        <w:rPr>
          <w:rFonts w:ascii="Arial" w:hAnsi="Arial"/>
          <w:sz w:val="18"/>
        </w:rPr>
        <w:t xml:space="preserve">E-Mail </w:t>
      </w:r>
      <w:hyperlink r:id="rId8" w:history="1">
        <w:r w:rsidRPr="001A2E45">
          <w:rPr>
            <w:rStyle w:val="Hyperlink"/>
            <w:rFonts w:ascii="Arial" w:hAnsi="Arial"/>
            <w:color w:val="000000"/>
            <w:sz w:val="18"/>
            <w:u w:val="none"/>
          </w:rPr>
          <w:t>frank.buettner@sparda-n.de</w:t>
        </w:r>
      </w:hyperlink>
      <w:r w:rsidRPr="001A2E45">
        <w:rPr>
          <w:rFonts w:ascii="Arial" w:hAnsi="Arial"/>
          <w:color w:val="000000"/>
          <w:sz w:val="18"/>
        </w:rPr>
        <w:tab/>
      </w:r>
      <w:r w:rsidRPr="001A2E45">
        <w:rPr>
          <w:rFonts w:ascii="Arial" w:hAnsi="Arial"/>
          <w:color w:val="000000"/>
          <w:sz w:val="18"/>
        </w:rPr>
        <w:tab/>
      </w:r>
      <w:r w:rsidRPr="001A2E45">
        <w:rPr>
          <w:rFonts w:ascii="Arial" w:hAnsi="Arial"/>
          <w:color w:val="000000"/>
          <w:sz w:val="18"/>
        </w:rPr>
        <w:tab/>
      </w:r>
      <w:r w:rsidRPr="001A2E45">
        <w:rPr>
          <w:rFonts w:ascii="Arial" w:hAnsi="Arial"/>
          <w:color w:val="000000"/>
          <w:sz w:val="18"/>
        </w:rPr>
        <w:tab/>
      </w:r>
      <w:r w:rsidRPr="001A2E45">
        <w:rPr>
          <w:rFonts w:ascii="Arial" w:hAnsi="Arial"/>
          <w:color w:val="000000"/>
          <w:sz w:val="18"/>
        </w:rPr>
        <w:tab/>
      </w:r>
      <w:r w:rsidRPr="001A2E45">
        <w:rPr>
          <w:rFonts w:ascii="Arial" w:hAnsi="Arial"/>
          <w:sz w:val="18"/>
        </w:rPr>
        <w:t>Fax 0911/97 47 8-10</w:t>
      </w:r>
    </w:p>
    <w:p w14:paraId="1FDD985A" w14:textId="77777777" w:rsidR="002B2F88" w:rsidRPr="001A4ED9" w:rsidRDefault="002B2F88" w:rsidP="002B2F88">
      <w:pPr>
        <w:spacing w:after="0"/>
        <w:ind w:right="1462"/>
        <w:rPr>
          <w:rFonts w:ascii="Arial" w:hAnsi="Arial"/>
          <w:sz w:val="18"/>
        </w:rPr>
      </w:pPr>
      <w:r w:rsidRPr="001A2E45">
        <w:rPr>
          <w:rFonts w:ascii="Arial" w:hAnsi="Arial"/>
          <w:sz w:val="18"/>
        </w:rPr>
        <w:t xml:space="preserve">Internet </w:t>
      </w:r>
      <w:hyperlink r:id="rId9" w:history="1">
        <w:r w:rsidRPr="001A2E45">
          <w:rPr>
            <w:rStyle w:val="Hyperlink"/>
            <w:rFonts w:ascii="Arial" w:hAnsi="Arial"/>
            <w:color w:val="000000"/>
            <w:sz w:val="18"/>
            <w:u w:val="none"/>
          </w:rPr>
          <w:t>www.sparda-n.de</w:t>
        </w:r>
      </w:hyperlink>
      <w:r w:rsidRPr="001A2E45">
        <w:rPr>
          <w:rFonts w:ascii="Arial" w:hAnsi="Arial"/>
          <w:color w:val="000000"/>
          <w:sz w:val="18"/>
        </w:rPr>
        <w:tab/>
      </w:r>
      <w:r w:rsidRPr="001A2E45">
        <w:rPr>
          <w:rFonts w:ascii="Arial" w:hAnsi="Arial"/>
          <w:color w:val="000000"/>
          <w:sz w:val="18"/>
        </w:rPr>
        <w:tab/>
      </w:r>
      <w:r w:rsidRPr="001A2E45">
        <w:rPr>
          <w:rFonts w:ascii="Arial" w:hAnsi="Arial"/>
          <w:color w:val="000000"/>
          <w:sz w:val="18"/>
        </w:rPr>
        <w:tab/>
      </w:r>
      <w:r w:rsidRPr="001A2E45">
        <w:rPr>
          <w:rFonts w:ascii="Arial" w:hAnsi="Arial"/>
          <w:color w:val="000000"/>
          <w:sz w:val="18"/>
        </w:rPr>
        <w:tab/>
      </w:r>
      <w:r w:rsidRPr="001A2E45">
        <w:rPr>
          <w:rFonts w:ascii="Arial" w:hAnsi="Arial"/>
          <w:color w:val="000000"/>
          <w:sz w:val="18"/>
        </w:rPr>
        <w:tab/>
      </w:r>
      <w:r w:rsidRPr="001A2E45">
        <w:rPr>
          <w:rFonts w:ascii="Arial" w:hAnsi="Arial"/>
          <w:color w:val="000000"/>
          <w:sz w:val="18"/>
        </w:rPr>
        <w:tab/>
      </w:r>
      <w:r w:rsidRPr="001A2E45">
        <w:rPr>
          <w:rFonts w:ascii="Arial" w:hAnsi="Arial"/>
          <w:sz w:val="18"/>
        </w:rPr>
        <w:t>E-Mail info@kontext.com</w:t>
      </w:r>
    </w:p>
    <w:p w14:paraId="132A846C" w14:textId="77777777" w:rsidR="002B2F88" w:rsidRDefault="002B2F88" w:rsidP="002B2F88">
      <w:pPr>
        <w:spacing w:after="0"/>
        <w:ind w:right="1462"/>
        <w:rPr>
          <w:rFonts w:ascii="Arial" w:hAnsi="Arial"/>
          <w:sz w:val="18"/>
        </w:rPr>
      </w:pPr>
    </w:p>
    <w:p w14:paraId="4ED2A293" w14:textId="77777777" w:rsidR="00F90C48" w:rsidRDefault="00F90C48" w:rsidP="0075523E">
      <w:pPr>
        <w:spacing w:after="0" w:line="240" w:lineRule="auto"/>
        <w:ind w:right="141"/>
        <w:rPr>
          <w:rFonts w:ascii="Arial" w:hAnsi="Arial" w:cs="Arial"/>
          <w:b/>
          <w:bCs/>
          <w:sz w:val="18"/>
          <w:szCs w:val="18"/>
          <w:lang w:eastAsia="de-DE"/>
        </w:rPr>
      </w:pPr>
    </w:p>
    <w:sectPr w:rsidR="00F90C48" w:rsidSect="00CA294E">
      <w:headerReference w:type="default" r:id="rId10"/>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9251A" w14:textId="77777777" w:rsidR="002358C0" w:rsidRDefault="002358C0" w:rsidP="009C357D">
      <w:pPr>
        <w:spacing w:after="0" w:line="240" w:lineRule="auto"/>
      </w:pPr>
      <w:r>
        <w:separator/>
      </w:r>
    </w:p>
  </w:endnote>
  <w:endnote w:type="continuationSeparator" w:id="0">
    <w:p w14:paraId="16921940" w14:textId="77777777" w:rsidR="002358C0" w:rsidRDefault="002358C0" w:rsidP="009C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9D134" w14:textId="77777777" w:rsidR="002358C0" w:rsidRDefault="002358C0" w:rsidP="009C357D">
      <w:pPr>
        <w:spacing w:after="0" w:line="240" w:lineRule="auto"/>
      </w:pPr>
      <w:r>
        <w:separator/>
      </w:r>
    </w:p>
  </w:footnote>
  <w:footnote w:type="continuationSeparator" w:id="0">
    <w:p w14:paraId="41DB3085" w14:textId="77777777" w:rsidR="002358C0" w:rsidRDefault="002358C0" w:rsidP="009C3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1D957" w14:textId="77777777" w:rsidR="006C385F" w:rsidRDefault="006C385F">
    <w:pPr>
      <w:pStyle w:val="Kopfzeile"/>
    </w:pPr>
    <w:r>
      <w:t xml:space="preserve">                                                                                          </w:t>
    </w:r>
    <w:r w:rsidRPr="009C357D">
      <w:rPr>
        <w:rFonts w:ascii="Arial" w:hAnsi="Arial" w:cs="Arial"/>
        <w:noProof/>
        <w:lang w:eastAsia="de-DE"/>
      </w:rPr>
      <w:drawing>
        <wp:inline distT="0" distB="0" distL="0" distR="0" wp14:anchorId="11A78408" wp14:editId="6280E53F">
          <wp:extent cx="2781300" cy="1152525"/>
          <wp:effectExtent l="0" t="0" r="0" b="9525"/>
          <wp:docPr id="1" name="Grafik 1" descr="Sparda-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da-B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A4193C"/>
    <w:multiLevelType w:val="hybridMultilevel"/>
    <w:tmpl w:val="CBAE83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375234D"/>
    <w:multiLevelType w:val="hybridMultilevel"/>
    <w:tmpl w:val="09B4B70A"/>
    <w:lvl w:ilvl="0" w:tplc="04070001">
      <w:start w:val="1"/>
      <w:numFmt w:val="bullet"/>
      <w:lvlText w:val=""/>
      <w:lvlJc w:val="left"/>
      <w:pPr>
        <w:ind w:left="810" w:hanging="360"/>
      </w:pPr>
      <w:rPr>
        <w:rFonts w:ascii="Symbol" w:hAnsi="Symbol" w:hint="default"/>
      </w:rPr>
    </w:lvl>
    <w:lvl w:ilvl="1" w:tplc="04070003" w:tentative="1">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tentative="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2" w15:restartNumberingAfterBreak="0">
    <w:nsid w:val="7CFD507A"/>
    <w:multiLevelType w:val="hybridMultilevel"/>
    <w:tmpl w:val="F9C82EA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F7"/>
    <w:rsid w:val="000032CD"/>
    <w:rsid w:val="0000787C"/>
    <w:rsid w:val="00007F85"/>
    <w:rsid w:val="0001277F"/>
    <w:rsid w:val="00013C8D"/>
    <w:rsid w:val="00015804"/>
    <w:rsid w:val="000169C4"/>
    <w:rsid w:val="00017DC0"/>
    <w:rsid w:val="0002119E"/>
    <w:rsid w:val="0002255D"/>
    <w:rsid w:val="0003470D"/>
    <w:rsid w:val="00040A90"/>
    <w:rsid w:val="00042072"/>
    <w:rsid w:val="00042C5C"/>
    <w:rsid w:val="00044391"/>
    <w:rsid w:val="00046500"/>
    <w:rsid w:val="000465A5"/>
    <w:rsid w:val="0004687C"/>
    <w:rsid w:val="00054474"/>
    <w:rsid w:val="00065EAA"/>
    <w:rsid w:val="00072D04"/>
    <w:rsid w:val="0008514D"/>
    <w:rsid w:val="00091461"/>
    <w:rsid w:val="00092E4D"/>
    <w:rsid w:val="000A3870"/>
    <w:rsid w:val="000A4313"/>
    <w:rsid w:val="000B0430"/>
    <w:rsid w:val="000B561F"/>
    <w:rsid w:val="000C4258"/>
    <w:rsid w:val="000C4D2B"/>
    <w:rsid w:val="000E746F"/>
    <w:rsid w:val="000F1111"/>
    <w:rsid w:val="000F255B"/>
    <w:rsid w:val="000F6D63"/>
    <w:rsid w:val="00100E00"/>
    <w:rsid w:val="00103882"/>
    <w:rsid w:val="00110A12"/>
    <w:rsid w:val="00117595"/>
    <w:rsid w:val="00125AE6"/>
    <w:rsid w:val="001324C7"/>
    <w:rsid w:val="0013599D"/>
    <w:rsid w:val="001424F8"/>
    <w:rsid w:val="0014476E"/>
    <w:rsid w:val="00145232"/>
    <w:rsid w:val="00152738"/>
    <w:rsid w:val="00170AD6"/>
    <w:rsid w:val="0017178B"/>
    <w:rsid w:val="0018099B"/>
    <w:rsid w:val="00180B73"/>
    <w:rsid w:val="00182364"/>
    <w:rsid w:val="00183325"/>
    <w:rsid w:val="001915AD"/>
    <w:rsid w:val="00196F27"/>
    <w:rsid w:val="001A0EFC"/>
    <w:rsid w:val="001B6E59"/>
    <w:rsid w:val="001B718A"/>
    <w:rsid w:val="001C0F62"/>
    <w:rsid w:val="001C6C07"/>
    <w:rsid w:val="001D50C9"/>
    <w:rsid w:val="001F0246"/>
    <w:rsid w:val="001F05D1"/>
    <w:rsid w:val="00202847"/>
    <w:rsid w:val="00204456"/>
    <w:rsid w:val="00204B93"/>
    <w:rsid w:val="0020526B"/>
    <w:rsid w:val="00226AFF"/>
    <w:rsid w:val="00235331"/>
    <w:rsid w:val="002358C0"/>
    <w:rsid w:val="0023619C"/>
    <w:rsid w:val="00237F80"/>
    <w:rsid w:val="0024310D"/>
    <w:rsid w:val="002565F9"/>
    <w:rsid w:val="00271777"/>
    <w:rsid w:val="0029063A"/>
    <w:rsid w:val="002A6B70"/>
    <w:rsid w:val="002B02E9"/>
    <w:rsid w:val="002B2F88"/>
    <w:rsid w:val="002B7457"/>
    <w:rsid w:val="002C5E7D"/>
    <w:rsid w:val="002D53D1"/>
    <w:rsid w:val="002D6ECF"/>
    <w:rsid w:val="002D75D3"/>
    <w:rsid w:val="002E341E"/>
    <w:rsid w:val="002E5CFF"/>
    <w:rsid w:val="002F1A2D"/>
    <w:rsid w:val="002F2E2D"/>
    <w:rsid w:val="002F62E6"/>
    <w:rsid w:val="00301C8C"/>
    <w:rsid w:val="003121F1"/>
    <w:rsid w:val="00315290"/>
    <w:rsid w:val="003167D1"/>
    <w:rsid w:val="00324497"/>
    <w:rsid w:val="00331FA7"/>
    <w:rsid w:val="00333CF7"/>
    <w:rsid w:val="0033594E"/>
    <w:rsid w:val="003416EC"/>
    <w:rsid w:val="003474D3"/>
    <w:rsid w:val="003509AE"/>
    <w:rsid w:val="00355E8F"/>
    <w:rsid w:val="00356417"/>
    <w:rsid w:val="0036230A"/>
    <w:rsid w:val="00367FE7"/>
    <w:rsid w:val="0037678E"/>
    <w:rsid w:val="00387466"/>
    <w:rsid w:val="003A3718"/>
    <w:rsid w:val="003B04D4"/>
    <w:rsid w:val="003B53D5"/>
    <w:rsid w:val="003B6BAB"/>
    <w:rsid w:val="003C308C"/>
    <w:rsid w:val="003D71D0"/>
    <w:rsid w:val="003E2A56"/>
    <w:rsid w:val="003E3D42"/>
    <w:rsid w:val="003E3F07"/>
    <w:rsid w:val="003E4AC3"/>
    <w:rsid w:val="003F1840"/>
    <w:rsid w:val="003F364B"/>
    <w:rsid w:val="003F530E"/>
    <w:rsid w:val="00405F5C"/>
    <w:rsid w:val="0041435C"/>
    <w:rsid w:val="0042042B"/>
    <w:rsid w:val="00431B8B"/>
    <w:rsid w:val="00432095"/>
    <w:rsid w:val="00440AE9"/>
    <w:rsid w:val="004441C9"/>
    <w:rsid w:val="004443CC"/>
    <w:rsid w:val="00454FAC"/>
    <w:rsid w:val="00457EAE"/>
    <w:rsid w:val="0046036C"/>
    <w:rsid w:val="00464914"/>
    <w:rsid w:val="00476C57"/>
    <w:rsid w:val="00490532"/>
    <w:rsid w:val="00496678"/>
    <w:rsid w:val="004A2D19"/>
    <w:rsid w:val="004A3515"/>
    <w:rsid w:val="004D2476"/>
    <w:rsid w:val="004E1E31"/>
    <w:rsid w:val="004E2C0A"/>
    <w:rsid w:val="004F0DD5"/>
    <w:rsid w:val="004F3050"/>
    <w:rsid w:val="004F40D6"/>
    <w:rsid w:val="004F4218"/>
    <w:rsid w:val="004F4547"/>
    <w:rsid w:val="004F50F5"/>
    <w:rsid w:val="004F6642"/>
    <w:rsid w:val="004F67C9"/>
    <w:rsid w:val="004F6804"/>
    <w:rsid w:val="00510288"/>
    <w:rsid w:val="0051245A"/>
    <w:rsid w:val="00522A50"/>
    <w:rsid w:val="00535FC8"/>
    <w:rsid w:val="00536AE4"/>
    <w:rsid w:val="00543974"/>
    <w:rsid w:val="00545E9A"/>
    <w:rsid w:val="005544E3"/>
    <w:rsid w:val="00561A1F"/>
    <w:rsid w:val="00563DD0"/>
    <w:rsid w:val="00567D83"/>
    <w:rsid w:val="00573F0B"/>
    <w:rsid w:val="0057623E"/>
    <w:rsid w:val="00584172"/>
    <w:rsid w:val="0058591C"/>
    <w:rsid w:val="005A276A"/>
    <w:rsid w:val="005A5579"/>
    <w:rsid w:val="005A68A9"/>
    <w:rsid w:val="005B723E"/>
    <w:rsid w:val="005B747F"/>
    <w:rsid w:val="005C2064"/>
    <w:rsid w:val="005C6485"/>
    <w:rsid w:val="005C6F9D"/>
    <w:rsid w:val="005D0722"/>
    <w:rsid w:val="005D0E6D"/>
    <w:rsid w:val="005D567E"/>
    <w:rsid w:val="005F309B"/>
    <w:rsid w:val="005F77F3"/>
    <w:rsid w:val="0060188E"/>
    <w:rsid w:val="00606A1B"/>
    <w:rsid w:val="00616E80"/>
    <w:rsid w:val="00622598"/>
    <w:rsid w:val="006251B0"/>
    <w:rsid w:val="00625798"/>
    <w:rsid w:val="006278DD"/>
    <w:rsid w:val="006318A2"/>
    <w:rsid w:val="00635244"/>
    <w:rsid w:val="00636476"/>
    <w:rsid w:val="0063682B"/>
    <w:rsid w:val="00636857"/>
    <w:rsid w:val="00643C08"/>
    <w:rsid w:val="00643F79"/>
    <w:rsid w:val="00646C7A"/>
    <w:rsid w:val="00650AA5"/>
    <w:rsid w:val="006531BB"/>
    <w:rsid w:val="00654F9D"/>
    <w:rsid w:val="006631EC"/>
    <w:rsid w:val="0066650F"/>
    <w:rsid w:val="00675F3E"/>
    <w:rsid w:val="006847EE"/>
    <w:rsid w:val="00684BF6"/>
    <w:rsid w:val="00691383"/>
    <w:rsid w:val="006938E4"/>
    <w:rsid w:val="006A3446"/>
    <w:rsid w:val="006A73D3"/>
    <w:rsid w:val="006B18C9"/>
    <w:rsid w:val="006B1ACE"/>
    <w:rsid w:val="006B5CA5"/>
    <w:rsid w:val="006B5E1C"/>
    <w:rsid w:val="006B681F"/>
    <w:rsid w:val="006C385F"/>
    <w:rsid w:val="006D7D23"/>
    <w:rsid w:val="006F467E"/>
    <w:rsid w:val="006F5D4D"/>
    <w:rsid w:val="007004FB"/>
    <w:rsid w:val="00703EFC"/>
    <w:rsid w:val="00715796"/>
    <w:rsid w:val="00715A30"/>
    <w:rsid w:val="00716DC8"/>
    <w:rsid w:val="00721D5A"/>
    <w:rsid w:val="007224C8"/>
    <w:rsid w:val="00723D26"/>
    <w:rsid w:val="00727700"/>
    <w:rsid w:val="0073471D"/>
    <w:rsid w:val="00734BDE"/>
    <w:rsid w:val="007411F6"/>
    <w:rsid w:val="00750BA7"/>
    <w:rsid w:val="00751232"/>
    <w:rsid w:val="0075523E"/>
    <w:rsid w:val="00755C10"/>
    <w:rsid w:val="00757A2D"/>
    <w:rsid w:val="0076276C"/>
    <w:rsid w:val="007651A3"/>
    <w:rsid w:val="00767E0C"/>
    <w:rsid w:val="00767E87"/>
    <w:rsid w:val="007735C1"/>
    <w:rsid w:val="007748DE"/>
    <w:rsid w:val="00783A6F"/>
    <w:rsid w:val="00794C54"/>
    <w:rsid w:val="007A06AB"/>
    <w:rsid w:val="007A1BE1"/>
    <w:rsid w:val="007A280D"/>
    <w:rsid w:val="007A31BB"/>
    <w:rsid w:val="007A5177"/>
    <w:rsid w:val="007A776C"/>
    <w:rsid w:val="007C15B3"/>
    <w:rsid w:val="007D0EF8"/>
    <w:rsid w:val="007D5B9B"/>
    <w:rsid w:val="007D5CFF"/>
    <w:rsid w:val="007D5E16"/>
    <w:rsid w:val="007E07B4"/>
    <w:rsid w:val="007E2EB6"/>
    <w:rsid w:val="007E7010"/>
    <w:rsid w:val="007F2B94"/>
    <w:rsid w:val="007F5845"/>
    <w:rsid w:val="007F7CAF"/>
    <w:rsid w:val="007F7D72"/>
    <w:rsid w:val="00815ADF"/>
    <w:rsid w:val="00822ED4"/>
    <w:rsid w:val="00825A37"/>
    <w:rsid w:val="008338E6"/>
    <w:rsid w:val="00850D24"/>
    <w:rsid w:val="00854485"/>
    <w:rsid w:val="008552BC"/>
    <w:rsid w:val="008662DA"/>
    <w:rsid w:val="00867585"/>
    <w:rsid w:val="00867B9E"/>
    <w:rsid w:val="00867F41"/>
    <w:rsid w:val="00873E8D"/>
    <w:rsid w:val="008755F3"/>
    <w:rsid w:val="00875621"/>
    <w:rsid w:val="00884E14"/>
    <w:rsid w:val="008867C9"/>
    <w:rsid w:val="00886B6C"/>
    <w:rsid w:val="00887B2F"/>
    <w:rsid w:val="00891EEB"/>
    <w:rsid w:val="008978C0"/>
    <w:rsid w:val="008A08AA"/>
    <w:rsid w:val="008A43B1"/>
    <w:rsid w:val="008A6883"/>
    <w:rsid w:val="008B26F6"/>
    <w:rsid w:val="008B30F4"/>
    <w:rsid w:val="008C30B6"/>
    <w:rsid w:val="008C3402"/>
    <w:rsid w:val="008C4223"/>
    <w:rsid w:val="008C49C5"/>
    <w:rsid w:val="008D6698"/>
    <w:rsid w:val="008D76B5"/>
    <w:rsid w:val="008E04AE"/>
    <w:rsid w:val="008F2D5D"/>
    <w:rsid w:val="008F4C24"/>
    <w:rsid w:val="00900AF1"/>
    <w:rsid w:val="009039E5"/>
    <w:rsid w:val="00904384"/>
    <w:rsid w:val="009075A7"/>
    <w:rsid w:val="00920B98"/>
    <w:rsid w:val="00930785"/>
    <w:rsid w:val="009315B8"/>
    <w:rsid w:val="00937BDC"/>
    <w:rsid w:val="00944776"/>
    <w:rsid w:val="009475E7"/>
    <w:rsid w:val="00954781"/>
    <w:rsid w:val="00955A76"/>
    <w:rsid w:val="00957D2C"/>
    <w:rsid w:val="00963289"/>
    <w:rsid w:val="00963C5D"/>
    <w:rsid w:val="00967AA9"/>
    <w:rsid w:val="0097336A"/>
    <w:rsid w:val="009854AA"/>
    <w:rsid w:val="00993477"/>
    <w:rsid w:val="009A1D75"/>
    <w:rsid w:val="009A578E"/>
    <w:rsid w:val="009B2261"/>
    <w:rsid w:val="009B2CE4"/>
    <w:rsid w:val="009B334F"/>
    <w:rsid w:val="009B3522"/>
    <w:rsid w:val="009B39D7"/>
    <w:rsid w:val="009B3F5F"/>
    <w:rsid w:val="009B49C1"/>
    <w:rsid w:val="009B51AF"/>
    <w:rsid w:val="009C07F5"/>
    <w:rsid w:val="009C357D"/>
    <w:rsid w:val="009C3E5C"/>
    <w:rsid w:val="009C5D8B"/>
    <w:rsid w:val="009C71B7"/>
    <w:rsid w:val="009D2C68"/>
    <w:rsid w:val="009D3C7D"/>
    <w:rsid w:val="009D3CC1"/>
    <w:rsid w:val="009E6A84"/>
    <w:rsid w:val="009F4285"/>
    <w:rsid w:val="00A000B6"/>
    <w:rsid w:val="00A0010B"/>
    <w:rsid w:val="00A077DD"/>
    <w:rsid w:val="00A103C5"/>
    <w:rsid w:val="00A2112A"/>
    <w:rsid w:val="00A218F7"/>
    <w:rsid w:val="00A22C5F"/>
    <w:rsid w:val="00A23F7D"/>
    <w:rsid w:val="00A25B7F"/>
    <w:rsid w:val="00A2730F"/>
    <w:rsid w:val="00A35999"/>
    <w:rsid w:val="00A41151"/>
    <w:rsid w:val="00A41CE4"/>
    <w:rsid w:val="00A422C1"/>
    <w:rsid w:val="00A43003"/>
    <w:rsid w:val="00A4635A"/>
    <w:rsid w:val="00A50036"/>
    <w:rsid w:val="00A52033"/>
    <w:rsid w:val="00A5235B"/>
    <w:rsid w:val="00A53CFB"/>
    <w:rsid w:val="00A56C8D"/>
    <w:rsid w:val="00A56F21"/>
    <w:rsid w:val="00A62F73"/>
    <w:rsid w:val="00A6713B"/>
    <w:rsid w:val="00A70982"/>
    <w:rsid w:val="00A94327"/>
    <w:rsid w:val="00AA0586"/>
    <w:rsid w:val="00AA0E08"/>
    <w:rsid w:val="00AA30AD"/>
    <w:rsid w:val="00AA6608"/>
    <w:rsid w:val="00AB5D65"/>
    <w:rsid w:val="00AC2EB2"/>
    <w:rsid w:val="00AC3DA8"/>
    <w:rsid w:val="00AD0141"/>
    <w:rsid w:val="00AD0F36"/>
    <w:rsid w:val="00AD59E8"/>
    <w:rsid w:val="00AD700B"/>
    <w:rsid w:val="00AE42F3"/>
    <w:rsid w:val="00B0012B"/>
    <w:rsid w:val="00B116BD"/>
    <w:rsid w:val="00B11E62"/>
    <w:rsid w:val="00B21D82"/>
    <w:rsid w:val="00B378DF"/>
    <w:rsid w:val="00B378E7"/>
    <w:rsid w:val="00B41D3D"/>
    <w:rsid w:val="00B55B64"/>
    <w:rsid w:val="00B62A45"/>
    <w:rsid w:val="00B6582B"/>
    <w:rsid w:val="00B65F95"/>
    <w:rsid w:val="00B74195"/>
    <w:rsid w:val="00B75C79"/>
    <w:rsid w:val="00B86011"/>
    <w:rsid w:val="00B96C34"/>
    <w:rsid w:val="00B97797"/>
    <w:rsid w:val="00BA717D"/>
    <w:rsid w:val="00BC699C"/>
    <w:rsid w:val="00BD0C1C"/>
    <w:rsid w:val="00BD4257"/>
    <w:rsid w:val="00BD77E3"/>
    <w:rsid w:val="00BD7B5F"/>
    <w:rsid w:val="00BE46E6"/>
    <w:rsid w:val="00BF314C"/>
    <w:rsid w:val="00BF53D7"/>
    <w:rsid w:val="00C10653"/>
    <w:rsid w:val="00C10C1D"/>
    <w:rsid w:val="00C15563"/>
    <w:rsid w:val="00C15743"/>
    <w:rsid w:val="00C218C6"/>
    <w:rsid w:val="00C21996"/>
    <w:rsid w:val="00C2757A"/>
    <w:rsid w:val="00C34C8F"/>
    <w:rsid w:val="00C4081D"/>
    <w:rsid w:val="00C421F8"/>
    <w:rsid w:val="00C662BE"/>
    <w:rsid w:val="00C77711"/>
    <w:rsid w:val="00C8269B"/>
    <w:rsid w:val="00C86507"/>
    <w:rsid w:val="00C87F4E"/>
    <w:rsid w:val="00C96918"/>
    <w:rsid w:val="00C976C5"/>
    <w:rsid w:val="00CA143B"/>
    <w:rsid w:val="00CA294E"/>
    <w:rsid w:val="00CA54F4"/>
    <w:rsid w:val="00CA6808"/>
    <w:rsid w:val="00CD5881"/>
    <w:rsid w:val="00CE5C06"/>
    <w:rsid w:val="00CE5DC8"/>
    <w:rsid w:val="00CE5F06"/>
    <w:rsid w:val="00CE7693"/>
    <w:rsid w:val="00CF5837"/>
    <w:rsid w:val="00CF7300"/>
    <w:rsid w:val="00D00528"/>
    <w:rsid w:val="00D01641"/>
    <w:rsid w:val="00D03F82"/>
    <w:rsid w:val="00D11E7E"/>
    <w:rsid w:val="00D21A61"/>
    <w:rsid w:val="00D25B1D"/>
    <w:rsid w:val="00D30921"/>
    <w:rsid w:val="00D4075F"/>
    <w:rsid w:val="00D45085"/>
    <w:rsid w:val="00D538F9"/>
    <w:rsid w:val="00D5768A"/>
    <w:rsid w:val="00D80C8A"/>
    <w:rsid w:val="00D82EB8"/>
    <w:rsid w:val="00D85572"/>
    <w:rsid w:val="00D859E1"/>
    <w:rsid w:val="00D91D1C"/>
    <w:rsid w:val="00D92573"/>
    <w:rsid w:val="00D92825"/>
    <w:rsid w:val="00D93250"/>
    <w:rsid w:val="00D94805"/>
    <w:rsid w:val="00D9777A"/>
    <w:rsid w:val="00D9799F"/>
    <w:rsid w:val="00DB2CF5"/>
    <w:rsid w:val="00DB6A8E"/>
    <w:rsid w:val="00DC1F0F"/>
    <w:rsid w:val="00DC2A4A"/>
    <w:rsid w:val="00DC5D69"/>
    <w:rsid w:val="00DC7A7F"/>
    <w:rsid w:val="00DE0CFD"/>
    <w:rsid w:val="00DE24C8"/>
    <w:rsid w:val="00DF1AC7"/>
    <w:rsid w:val="00DF28F9"/>
    <w:rsid w:val="00DF2FC1"/>
    <w:rsid w:val="00E13ED4"/>
    <w:rsid w:val="00E2517F"/>
    <w:rsid w:val="00E25F75"/>
    <w:rsid w:val="00E30239"/>
    <w:rsid w:val="00E565C9"/>
    <w:rsid w:val="00E5684A"/>
    <w:rsid w:val="00E67A6D"/>
    <w:rsid w:val="00E70E85"/>
    <w:rsid w:val="00E712DD"/>
    <w:rsid w:val="00E727F9"/>
    <w:rsid w:val="00E833F2"/>
    <w:rsid w:val="00E8548A"/>
    <w:rsid w:val="00E86A96"/>
    <w:rsid w:val="00E86E97"/>
    <w:rsid w:val="00E9172B"/>
    <w:rsid w:val="00E954EA"/>
    <w:rsid w:val="00E97554"/>
    <w:rsid w:val="00EB718D"/>
    <w:rsid w:val="00EC0B28"/>
    <w:rsid w:val="00EC0C0F"/>
    <w:rsid w:val="00EC1AAF"/>
    <w:rsid w:val="00EC4CF5"/>
    <w:rsid w:val="00ED2528"/>
    <w:rsid w:val="00ED324A"/>
    <w:rsid w:val="00ED5601"/>
    <w:rsid w:val="00ED7C92"/>
    <w:rsid w:val="00EE1A3F"/>
    <w:rsid w:val="00EF5ACB"/>
    <w:rsid w:val="00F02B2B"/>
    <w:rsid w:val="00F02E82"/>
    <w:rsid w:val="00F0315D"/>
    <w:rsid w:val="00F032A2"/>
    <w:rsid w:val="00F05AD1"/>
    <w:rsid w:val="00F067C5"/>
    <w:rsid w:val="00F0758E"/>
    <w:rsid w:val="00F12441"/>
    <w:rsid w:val="00F268E4"/>
    <w:rsid w:val="00F271FF"/>
    <w:rsid w:val="00F360AC"/>
    <w:rsid w:val="00F44DC9"/>
    <w:rsid w:val="00F4726B"/>
    <w:rsid w:val="00F47F13"/>
    <w:rsid w:val="00F54662"/>
    <w:rsid w:val="00F5536E"/>
    <w:rsid w:val="00F63F2F"/>
    <w:rsid w:val="00F67026"/>
    <w:rsid w:val="00F7090D"/>
    <w:rsid w:val="00F70BE6"/>
    <w:rsid w:val="00F72560"/>
    <w:rsid w:val="00F734BB"/>
    <w:rsid w:val="00F76252"/>
    <w:rsid w:val="00F80052"/>
    <w:rsid w:val="00F90B0E"/>
    <w:rsid w:val="00F90C48"/>
    <w:rsid w:val="00F90C52"/>
    <w:rsid w:val="00F939C7"/>
    <w:rsid w:val="00FA2AB4"/>
    <w:rsid w:val="00FA6412"/>
    <w:rsid w:val="00FB20BC"/>
    <w:rsid w:val="00FB4DE2"/>
    <w:rsid w:val="00FC2094"/>
    <w:rsid w:val="00FC2CC0"/>
    <w:rsid w:val="00FC4907"/>
    <w:rsid w:val="00FD5453"/>
    <w:rsid w:val="00FD6F6F"/>
    <w:rsid w:val="00FD712D"/>
    <w:rsid w:val="00FD7C76"/>
    <w:rsid w:val="00FE0225"/>
    <w:rsid w:val="00FE210E"/>
    <w:rsid w:val="00FE2710"/>
    <w:rsid w:val="00FE2C53"/>
    <w:rsid w:val="00FE5E96"/>
    <w:rsid w:val="00FE6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3A57F8"/>
  <w15:docId w15:val="{0A9974EA-85EB-4838-BA35-37AFA8F0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35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357D"/>
    <w:rPr>
      <w:rFonts w:ascii="Tahoma" w:hAnsi="Tahoma" w:cs="Tahoma"/>
      <w:sz w:val="16"/>
      <w:szCs w:val="16"/>
    </w:rPr>
  </w:style>
  <w:style w:type="paragraph" w:styleId="Kopfzeile">
    <w:name w:val="header"/>
    <w:basedOn w:val="Standard"/>
    <w:link w:val="KopfzeileZchn"/>
    <w:uiPriority w:val="99"/>
    <w:unhideWhenUsed/>
    <w:rsid w:val="009C35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357D"/>
  </w:style>
  <w:style w:type="paragraph" w:styleId="Fuzeile">
    <w:name w:val="footer"/>
    <w:basedOn w:val="Standard"/>
    <w:link w:val="FuzeileZchn"/>
    <w:uiPriority w:val="99"/>
    <w:unhideWhenUsed/>
    <w:rsid w:val="009C35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357D"/>
  </w:style>
  <w:style w:type="character" w:styleId="Hyperlink">
    <w:name w:val="Hyperlink"/>
    <w:basedOn w:val="Absatz-Standardschriftart"/>
    <w:uiPriority w:val="99"/>
    <w:unhideWhenUsed/>
    <w:rsid w:val="000465A5"/>
    <w:rPr>
      <w:color w:val="0000FF" w:themeColor="hyperlink"/>
      <w:u w:val="single"/>
    </w:rPr>
  </w:style>
  <w:style w:type="paragraph" w:styleId="NurText">
    <w:name w:val="Plain Text"/>
    <w:basedOn w:val="Standard"/>
    <w:link w:val="NurTextZchn"/>
    <w:uiPriority w:val="99"/>
    <w:semiHidden/>
    <w:unhideWhenUsed/>
    <w:rsid w:val="00622598"/>
    <w:pPr>
      <w:spacing w:after="0" w:line="240" w:lineRule="auto"/>
    </w:pPr>
    <w:rPr>
      <w:rFonts w:ascii="Verdana" w:hAnsi="Verdana"/>
      <w:sz w:val="18"/>
      <w:szCs w:val="21"/>
    </w:rPr>
  </w:style>
  <w:style w:type="character" w:customStyle="1" w:styleId="NurTextZchn">
    <w:name w:val="Nur Text Zchn"/>
    <w:basedOn w:val="Absatz-Standardschriftart"/>
    <w:link w:val="NurText"/>
    <w:uiPriority w:val="99"/>
    <w:semiHidden/>
    <w:rsid w:val="00622598"/>
    <w:rPr>
      <w:rFonts w:ascii="Verdana" w:hAnsi="Verdana"/>
      <w:sz w:val="18"/>
      <w:szCs w:val="21"/>
    </w:rPr>
  </w:style>
  <w:style w:type="character" w:styleId="Kommentarzeichen">
    <w:name w:val="annotation reference"/>
    <w:basedOn w:val="Absatz-Standardschriftart"/>
    <w:uiPriority w:val="99"/>
    <w:semiHidden/>
    <w:unhideWhenUsed/>
    <w:rsid w:val="007E07B4"/>
    <w:rPr>
      <w:sz w:val="16"/>
      <w:szCs w:val="16"/>
    </w:rPr>
  </w:style>
  <w:style w:type="paragraph" w:styleId="Kommentartext">
    <w:name w:val="annotation text"/>
    <w:basedOn w:val="Standard"/>
    <w:link w:val="KommentartextZchn"/>
    <w:uiPriority w:val="99"/>
    <w:semiHidden/>
    <w:unhideWhenUsed/>
    <w:rsid w:val="007E07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07B4"/>
    <w:rPr>
      <w:sz w:val="20"/>
      <w:szCs w:val="20"/>
    </w:rPr>
  </w:style>
  <w:style w:type="paragraph" w:styleId="Kommentarthema">
    <w:name w:val="annotation subject"/>
    <w:basedOn w:val="Kommentartext"/>
    <w:next w:val="Kommentartext"/>
    <w:link w:val="KommentarthemaZchn"/>
    <w:uiPriority w:val="99"/>
    <w:semiHidden/>
    <w:unhideWhenUsed/>
    <w:rsid w:val="007E07B4"/>
    <w:rPr>
      <w:b/>
      <w:bCs/>
    </w:rPr>
  </w:style>
  <w:style w:type="character" w:customStyle="1" w:styleId="KommentarthemaZchn">
    <w:name w:val="Kommentarthema Zchn"/>
    <w:basedOn w:val="KommentartextZchn"/>
    <w:link w:val="Kommentarthema"/>
    <w:uiPriority w:val="99"/>
    <w:semiHidden/>
    <w:rsid w:val="007E07B4"/>
    <w:rPr>
      <w:b/>
      <w:bCs/>
      <w:sz w:val="20"/>
      <w:szCs w:val="20"/>
    </w:rPr>
  </w:style>
  <w:style w:type="paragraph" w:styleId="HTMLVorformatiert">
    <w:name w:val="HTML Preformatted"/>
    <w:basedOn w:val="Standard"/>
    <w:link w:val="HTMLVorformatiertZchn"/>
    <w:rsid w:val="002B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VorformatiertZchn">
    <w:name w:val="HTML Vorformatiert Zchn"/>
    <w:basedOn w:val="Absatz-Standardschriftart"/>
    <w:link w:val="HTMLVorformatiert"/>
    <w:rsid w:val="002B2F88"/>
    <w:rPr>
      <w:rFonts w:ascii="Courier New" w:eastAsia="Times New Roman" w:hAnsi="Courier New" w:cs="Times New Roman"/>
      <w:sz w:val="20"/>
      <w:szCs w:val="20"/>
      <w:lang w:val="x-none" w:eastAsia="x-none"/>
    </w:rPr>
  </w:style>
  <w:style w:type="paragraph" w:styleId="Listenabsatz">
    <w:name w:val="List Paragraph"/>
    <w:basedOn w:val="Standard"/>
    <w:uiPriority w:val="34"/>
    <w:qFormat/>
    <w:rsid w:val="00E13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4811">
      <w:bodyDiv w:val="1"/>
      <w:marLeft w:val="0"/>
      <w:marRight w:val="0"/>
      <w:marTop w:val="0"/>
      <w:marBottom w:val="0"/>
      <w:divBdr>
        <w:top w:val="none" w:sz="0" w:space="0" w:color="auto"/>
        <w:left w:val="none" w:sz="0" w:space="0" w:color="auto"/>
        <w:bottom w:val="none" w:sz="0" w:space="0" w:color="auto"/>
        <w:right w:val="none" w:sz="0" w:space="0" w:color="auto"/>
      </w:divBdr>
    </w:div>
    <w:div w:id="775444573">
      <w:bodyDiv w:val="1"/>
      <w:marLeft w:val="0"/>
      <w:marRight w:val="0"/>
      <w:marTop w:val="0"/>
      <w:marBottom w:val="0"/>
      <w:divBdr>
        <w:top w:val="none" w:sz="0" w:space="0" w:color="auto"/>
        <w:left w:val="none" w:sz="0" w:space="0" w:color="auto"/>
        <w:bottom w:val="none" w:sz="0" w:space="0" w:color="auto"/>
        <w:right w:val="none" w:sz="0" w:space="0" w:color="auto"/>
      </w:divBdr>
    </w:div>
    <w:div w:id="1085415273">
      <w:bodyDiv w:val="1"/>
      <w:marLeft w:val="0"/>
      <w:marRight w:val="0"/>
      <w:marTop w:val="0"/>
      <w:marBottom w:val="0"/>
      <w:divBdr>
        <w:top w:val="none" w:sz="0" w:space="0" w:color="auto"/>
        <w:left w:val="none" w:sz="0" w:space="0" w:color="auto"/>
        <w:bottom w:val="none" w:sz="0" w:space="0" w:color="auto"/>
        <w:right w:val="none" w:sz="0" w:space="0" w:color="auto"/>
      </w:divBdr>
    </w:div>
    <w:div w:id="1724135744">
      <w:bodyDiv w:val="1"/>
      <w:marLeft w:val="0"/>
      <w:marRight w:val="0"/>
      <w:marTop w:val="0"/>
      <w:marBottom w:val="0"/>
      <w:divBdr>
        <w:top w:val="none" w:sz="0" w:space="0" w:color="auto"/>
        <w:left w:val="none" w:sz="0" w:space="0" w:color="auto"/>
        <w:bottom w:val="none" w:sz="0" w:space="0" w:color="auto"/>
        <w:right w:val="none" w:sz="0" w:space="0" w:color="auto"/>
      </w:divBdr>
    </w:div>
    <w:div w:id="18719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buettner@sparda-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arda-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2094F-24EA-482F-8C8D-D720E3AB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8341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Hilse</dc:creator>
  <cp:lastModifiedBy>Baltes</cp:lastModifiedBy>
  <cp:revision>3</cp:revision>
  <cp:lastPrinted>2021-01-20T08:46:00Z</cp:lastPrinted>
  <dcterms:created xsi:type="dcterms:W3CDTF">2021-01-20T08:52:00Z</dcterms:created>
  <dcterms:modified xsi:type="dcterms:W3CDTF">2021-03-02T08:42:00Z</dcterms:modified>
</cp:coreProperties>
</file>